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0F9" w:rsidRPr="007E56DA" w:rsidRDefault="00A750F9" w:rsidP="00A750F9">
      <w:pPr>
        <w:pStyle w:val="Normal1"/>
        <w:spacing w:after="0" w:line="360" w:lineRule="auto"/>
        <w:jc w:val="both"/>
        <w:rPr>
          <w:rFonts w:ascii="Times New Roman" w:eastAsia="Arial" w:hAnsi="Times New Roman" w:cs="Times New Roman"/>
          <w:b/>
          <w:color w:val="auto"/>
          <w:sz w:val="24"/>
          <w:szCs w:val="24"/>
          <w:lang w:val="es-ES_tradnl"/>
        </w:rPr>
      </w:pPr>
      <w:r w:rsidRPr="007E56DA">
        <w:rPr>
          <w:rFonts w:ascii="Times New Roman" w:eastAsia="Arial" w:hAnsi="Times New Roman" w:cs="Times New Roman"/>
          <w:b/>
          <w:color w:val="auto"/>
          <w:sz w:val="24"/>
          <w:szCs w:val="24"/>
          <w:lang w:val="es-ES_tradnl"/>
        </w:rPr>
        <w:t>Ponencia preparada para el XIII Congreso Nacional de Ciencia Política “La política en entredicho. Volatilidad global, desigualdades persistentes y gobernabilidad democrática”, organizado por la Sociedad Argentina de Análisis Político y la Universidad Torcuato Di Tella, Buenos Aires, 2 al 5 de agosto de 2017</w:t>
      </w:r>
    </w:p>
    <w:p w:rsidR="00A750F9" w:rsidRPr="007E56DA" w:rsidRDefault="00A750F9" w:rsidP="00A750F9">
      <w:pPr>
        <w:pStyle w:val="Normal1"/>
        <w:spacing w:after="0" w:line="360" w:lineRule="auto"/>
        <w:ind w:left="360"/>
        <w:jc w:val="both"/>
        <w:rPr>
          <w:rFonts w:ascii="Times New Roman" w:eastAsia="Arial" w:hAnsi="Times New Roman" w:cs="Times New Roman"/>
          <w:b/>
          <w:color w:val="auto"/>
          <w:sz w:val="24"/>
          <w:szCs w:val="24"/>
          <w:lang w:val="es-ES_tradnl"/>
        </w:rPr>
      </w:pPr>
    </w:p>
    <w:p w:rsidR="00A750F9" w:rsidRPr="007E56DA" w:rsidRDefault="00A750F9" w:rsidP="00A750F9">
      <w:pPr>
        <w:pStyle w:val="Normal1"/>
        <w:spacing w:after="0" w:line="360" w:lineRule="auto"/>
        <w:jc w:val="both"/>
        <w:rPr>
          <w:rFonts w:ascii="Times New Roman" w:eastAsia="Arial" w:hAnsi="Times New Roman" w:cs="Times New Roman"/>
          <w:color w:val="auto"/>
          <w:sz w:val="24"/>
          <w:szCs w:val="24"/>
          <w:lang w:val="en-US"/>
        </w:rPr>
      </w:pPr>
      <w:r w:rsidRPr="007E56DA">
        <w:rPr>
          <w:rFonts w:ascii="Times New Roman" w:eastAsia="Arial" w:hAnsi="Times New Roman" w:cs="Times New Roman"/>
          <w:b/>
          <w:color w:val="auto"/>
          <w:sz w:val="24"/>
          <w:szCs w:val="24"/>
          <w:lang w:val="es-ES_tradnl"/>
        </w:rPr>
        <w:t xml:space="preserve">Título: </w:t>
      </w:r>
      <w:r w:rsidRPr="007E56DA">
        <w:rPr>
          <w:rFonts w:ascii="Times New Roman" w:eastAsia="Arial" w:hAnsi="Times New Roman" w:cs="Times New Roman"/>
          <w:color w:val="auto"/>
          <w:sz w:val="24"/>
          <w:szCs w:val="24"/>
        </w:rPr>
        <w:t>OSC y democracia: Estrategias de incidencia en la definición de políticas públicas. Los casos de la asociación Justicia Legítima y de la fundación María de los Ángeles</w:t>
      </w:r>
      <w:r w:rsidRPr="007E56DA">
        <w:rPr>
          <w:rFonts w:ascii="Times New Roman" w:eastAsia="Arial" w:hAnsi="Times New Roman" w:cs="Times New Roman"/>
          <w:color w:val="auto"/>
          <w:sz w:val="24"/>
          <w:szCs w:val="24"/>
          <w:vertAlign w:val="superscript"/>
        </w:rPr>
        <w:footnoteReference w:id="2"/>
      </w:r>
    </w:p>
    <w:p w:rsidR="00A750F9" w:rsidRPr="007E56DA" w:rsidRDefault="00A750F9" w:rsidP="00A750F9">
      <w:pPr>
        <w:pStyle w:val="Normal1"/>
        <w:spacing w:after="0" w:line="360" w:lineRule="auto"/>
        <w:ind w:left="360"/>
        <w:jc w:val="both"/>
        <w:rPr>
          <w:rFonts w:ascii="Times New Roman" w:eastAsia="Arial" w:hAnsi="Times New Roman" w:cs="Times New Roman"/>
          <w:b/>
          <w:color w:val="auto"/>
          <w:sz w:val="24"/>
          <w:szCs w:val="24"/>
          <w:lang w:val="es-ES_tradnl"/>
        </w:rPr>
      </w:pPr>
    </w:p>
    <w:p w:rsidR="00A750F9" w:rsidRPr="007E56DA" w:rsidRDefault="00A750F9" w:rsidP="00A750F9">
      <w:pPr>
        <w:pStyle w:val="Normal1"/>
        <w:spacing w:after="0" w:line="360" w:lineRule="auto"/>
        <w:jc w:val="both"/>
        <w:rPr>
          <w:rFonts w:ascii="Times New Roman" w:eastAsia="Arial" w:hAnsi="Times New Roman" w:cs="Times New Roman"/>
          <w:b/>
          <w:color w:val="auto"/>
          <w:sz w:val="24"/>
          <w:szCs w:val="24"/>
          <w:lang w:val="es-ES_tradnl"/>
        </w:rPr>
      </w:pPr>
      <w:r w:rsidRPr="007E56DA">
        <w:rPr>
          <w:rFonts w:ascii="Times New Roman" w:eastAsia="Arial" w:hAnsi="Times New Roman" w:cs="Times New Roman"/>
          <w:b/>
          <w:color w:val="auto"/>
          <w:sz w:val="24"/>
          <w:szCs w:val="24"/>
          <w:lang w:val="es-ES_tradnl"/>
        </w:rPr>
        <w:t xml:space="preserve">Nombre/s y apellido/s de/l los autores: </w:t>
      </w:r>
    </w:p>
    <w:p w:rsidR="00A750F9" w:rsidRPr="007E56DA" w:rsidRDefault="00A750F9" w:rsidP="00A750F9">
      <w:pPr>
        <w:pStyle w:val="Normal1"/>
        <w:spacing w:after="0" w:line="360" w:lineRule="auto"/>
        <w:outlineLvl w:val="0"/>
        <w:rPr>
          <w:rFonts w:ascii="Times New Roman" w:hAnsi="Times New Roman" w:cs="Times New Roman"/>
          <w:color w:val="auto"/>
          <w:sz w:val="24"/>
          <w:szCs w:val="24"/>
          <w:lang w:val="en-US"/>
        </w:rPr>
      </w:pPr>
      <w:r w:rsidRPr="007E56DA">
        <w:rPr>
          <w:rFonts w:ascii="Times New Roman" w:hAnsi="Times New Roman" w:cs="Times New Roman"/>
          <w:color w:val="auto"/>
          <w:sz w:val="24"/>
          <w:szCs w:val="24"/>
          <w:lang w:val="en-US"/>
        </w:rPr>
        <w:t>Cintia We</w:t>
      </w:r>
      <w:r w:rsidR="00FE4ED3">
        <w:rPr>
          <w:rFonts w:ascii="Times New Roman" w:hAnsi="Times New Roman" w:cs="Times New Roman"/>
          <w:color w:val="auto"/>
          <w:sz w:val="24"/>
          <w:szCs w:val="24"/>
          <w:lang w:val="en-US"/>
        </w:rPr>
        <w:t>ckesser (CIFFyH- UNC. CONICET) e-</w:t>
      </w:r>
      <w:r w:rsidRPr="007E56DA">
        <w:rPr>
          <w:rFonts w:ascii="Times New Roman" w:hAnsi="Times New Roman" w:cs="Times New Roman"/>
          <w:color w:val="auto"/>
          <w:sz w:val="24"/>
          <w:szCs w:val="24"/>
          <w:lang w:val="en-US"/>
        </w:rPr>
        <w:t>mail: cintiaweckesser@gmail.com</w:t>
      </w:r>
    </w:p>
    <w:p w:rsidR="00A750F9" w:rsidRPr="007E56DA" w:rsidRDefault="00A750F9" w:rsidP="00A750F9">
      <w:pPr>
        <w:pStyle w:val="Normal1"/>
        <w:spacing w:after="0" w:line="360" w:lineRule="auto"/>
        <w:rPr>
          <w:rFonts w:ascii="Times New Roman" w:hAnsi="Times New Roman" w:cs="Times New Roman"/>
          <w:color w:val="auto"/>
          <w:sz w:val="24"/>
          <w:szCs w:val="24"/>
          <w:lang w:val="en-US"/>
        </w:rPr>
      </w:pPr>
      <w:r w:rsidRPr="007E56DA">
        <w:rPr>
          <w:rFonts w:ascii="Times New Roman" w:hAnsi="Times New Roman" w:cs="Times New Roman"/>
          <w:color w:val="auto"/>
          <w:sz w:val="24"/>
          <w:szCs w:val="24"/>
          <w:lang w:val="en-US"/>
        </w:rPr>
        <w:t>Eugenia Etkin</w:t>
      </w:r>
      <w:r w:rsidR="00FE4ED3">
        <w:rPr>
          <w:rFonts w:ascii="Times New Roman" w:hAnsi="Times New Roman" w:cs="Times New Roman"/>
          <w:color w:val="auto"/>
          <w:sz w:val="24"/>
          <w:szCs w:val="24"/>
          <w:lang w:val="en-US"/>
        </w:rPr>
        <w:t xml:space="preserve"> (UCES) e-</w:t>
      </w:r>
      <w:r w:rsidRPr="007E56DA">
        <w:rPr>
          <w:rFonts w:ascii="Times New Roman" w:hAnsi="Times New Roman" w:cs="Times New Roman"/>
          <w:color w:val="auto"/>
          <w:sz w:val="24"/>
          <w:szCs w:val="24"/>
          <w:lang w:val="en-US"/>
        </w:rPr>
        <w:t xml:space="preserve">mail: </w:t>
      </w:r>
      <w:r w:rsidR="007E56DA" w:rsidRPr="007E56DA">
        <w:rPr>
          <w:rFonts w:ascii="Times New Roman" w:hAnsi="Times New Roman" w:cs="Times New Roman"/>
          <w:color w:val="auto"/>
          <w:sz w:val="24"/>
          <w:szCs w:val="24"/>
          <w:lang w:val="en-US"/>
        </w:rPr>
        <w:t>eugeniaetkin@gmail.com</w:t>
      </w:r>
    </w:p>
    <w:p w:rsidR="00A750F9" w:rsidRPr="007E56DA" w:rsidRDefault="00A750F9" w:rsidP="00A750F9">
      <w:pPr>
        <w:pStyle w:val="Normal1"/>
        <w:spacing w:after="0" w:line="360" w:lineRule="auto"/>
        <w:jc w:val="both"/>
        <w:rPr>
          <w:rFonts w:ascii="Times New Roman" w:eastAsia="Arial" w:hAnsi="Times New Roman" w:cs="Times New Roman"/>
          <w:b/>
          <w:color w:val="auto"/>
          <w:sz w:val="24"/>
          <w:szCs w:val="24"/>
          <w:lang w:val="es-ES_tradnl"/>
        </w:rPr>
      </w:pPr>
    </w:p>
    <w:p w:rsidR="00A750F9" w:rsidRPr="007E56DA" w:rsidRDefault="00A750F9" w:rsidP="00A750F9">
      <w:pPr>
        <w:pStyle w:val="Normal1"/>
        <w:spacing w:after="0" w:line="360" w:lineRule="auto"/>
        <w:jc w:val="both"/>
        <w:rPr>
          <w:rFonts w:ascii="Times New Roman" w:eastAsia="Arial" w:hAnsi="Times New Roman" w:cs="Times New Roman"/>
          <w:color w:val="auto"/>
          <w:sz w:val="24"/>
          <w:szCs w:val="24"/>
          <w:lang w:val="es-ES_tradnl"/>
        </w:rPr>
      </w:pPr>
      <w:r w:rsidRPr="007E56DA">
        <w:rPr>
          <w:rFonts w:ascii="Times New Roman" w:eastAsia="Arial" w:hAnsi="Times New Roman" w:cs="Times New Roman"/>
          <w:b/>
          <w:color w:val="auto"/>
          <w:sz w:val="24"/>
          <w:szCs w:val="24"/>
          <w:lang w:val="es-ES_tradnl"/>
        </w:rPr>
        <w:t>Área temática a la que se presenta</w:t>
      </w:r>
      <w:r w:rsidR="006C5451" w:rsidRPr="007E56DA">
        <w:rPr>
          <w:rFonts w:ascii="Times New Roman" w:eastAsia="Arial" w:hAnsi="Times New Roman" w:cs="Times New Roman"/>
          <w:b/>
          <w:color w:val="auto"/>
          <w:sz w:val="24"/>
          <w:szCs w:val="24"/>
          <w:lang w:val="es-ES_tradnl"/>
        </w:rPr>
        <w:t xml:space="preserve">: </w:t>
      </w:r>
      <w:r w:rsidR="006C5451" w:rsidRPr="007E56DA">
        <w:rPr>
          <w:rFonts w:ascii="Times New Roman" w:eastAsia="Arial" w:hAnsi="Times New Roman" w:cs="Times New Roman"/>
          <w:color w:val="auto"/>
          <w:sz w:val="24"/>
          <w:szCs w:val="24"/>
          <w:lang w:val="es-ES_tradnl"/>
        </w:rPr>
        <w:t>Estado y organizaciones sociales</w:t>
      </w:r>
    </w:p>
    <w:p w:rsidR="00225871" w:rsidRPr="007E56DA" w:rsidRDefault="00225871" w:rsidP="00225871">
      <w:pPr>
        <w:pStyle w:val="Normal1"/>
        <w:spacing w:after="0" w:line="360" w:lineRule="auto"/>
        <w:jc w:val="both"/>
        <w:rPr>
          <w:rFonts w:ascii="Times New Roman" w:hAnsi="Times New Roman" w:cs="Times New Roman"/>
          <w:color w:val="auto"/>
          <w:sz w:val="24"/>
          <w:szCs w:val="24"/>
          <w:lang w:val="en-US"/>
        </w:rPr>
      </w:pPr>
    </w:p>
    <w:p w:rsidR="007E56DA" w:rsidRDefault="007E56DA">
      <w:pPr>
        <w:rPr>
          <w:rFonts w:ascii="Times New Roman" w:eastAsia="Arial" w:hAnsi="Times New Roman" w:cs="Times New Roman"/>
          <w:b/>
          <w:color w:val="auto"/>
          <w:sz w:val="24"/>
          <w:szCs w:val="24"/>
        </w:rPr>
      </w:pPr>
      <w:r>
        <w:rPr>
          <w:rFonts w:ascii="Times New Roman" w:eastAsia="Arial" w:hAnsi="Times New Roman" w:cs="Times New Roman"/>
          <w:b/>
          <w:color w:val="auto"/>
          <w:sz w:val="24"/>
          <w:szCs w:val="24"/>
        </w:rPr>
        <w:br w:type="page"/>
      </w:r>
      <w:bookmarkStart w:id="0" w:name="_GoBack"/>
      <w:bookmarkEnd w:id="0"/>
    </w:p>
    <w:p w:rsidR="00562A99" w:rsidRPr="007E56DA" w:rsidRDefault="00407E62" w:rsidP="0058457E">
      <w:pPr>
        <w:pStyle w:val="Normal1"/>
        <w:spacing w:after="0" w:line="360" w:lineRule="auto"/>
        <w:jc w:val="both"/>
        <w:outlineLvl w:val="0"/>
        <w:rPr>
          <w:rFonts w:ascii="Times New Roman" w:hAnsi="Times New Roman" w:cs="Times New Roman"/>
          <w:color w:val="auto"/>
          <w:sz w:val="24"/>
          <w:szCs w:val="24"/>
        </w:rPr>
      </w:pPr>
      <w:r w:rsidRPr="007E56DA">
        <w:rPr>
          <w:rFonts w:ascii="Times New Roman" w:eastAsia="Arial" w:hAnsi="Times New Roman" w:cs="Times New Roman"/>
          <w:b/>
          <w:color w:val="auto"/>
          <w:sz w:val="24"/>
          <w:szCs w:val="24"/>
        </w:rPr>
        <w:lastRenderedPageBreak/>
        <w:t>Resumen</w:t>
      </w:r>
    </w:p>
    <w:p w:rsidR="00562A99" w:rsidRPr="007E56DA" w:rsidRDefault="00407E62"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En este trabajo analizamos comparativamente las estrategias de dos organizaciones de la sociedad civil (OSC) que buscaron incidir en la definición de políticas públicas: la asociación civil Justicia Legítima y de la fundación María de los Ángeles. Nos preguntamos cómo, habiéndose conformado en lugares sociales marginales, con escaso poder político, ambas OSC consiguieron incidir en los debates y en la definición -aunque en distintas medidas- de políticas específicas. Entendemos que sus estrategias se habrían orientado a la construcción de enunciadores legítimos y de problemas legítimos, así como a la visibilización de tales construcciones. Esto, en un marco de particulares condiciones de enunciabilidad que hicieron “aceptables” sus reclamos de democratización de distintos ámbitos de lo social. Pero, además, consideramos que sus posibilidades de incidir se comprenden y explican a partir de sus particulares posiciones en sistemas de relación específicos y de sus competencias –en términos de capacidad de hacer-, definidas en tales posiciones. Es en este entramado que ambas OSC habrían desplegado estrategias particulares en pos de la concreción de sus propósitos. Y es en ese entramado también que buscamos </w:t>
      </w:r>
      <w:r w:rsidR="00080842" w:rsidRPr="007E56DA">
        <w:rPr>
          <w:rFonts w:ascii="Times New Roman" w:eastAsia="Arial" w:hAnsi="Times New Roman" w:cs="Times New Roman"/>
          <w:color w:val="auto"/>
          <w:sz w:val="24"/>
          <w:szCs w:val="24"/>
        </w:rPr>
        <w:t>comprender y explicar su éxito relativo</w:t>
      </w:r>
      <w:r w:rsidRPr="007E56DA">
        <w:rPr>
          <w:rFonts w:ascii="Times New Roman" w:eastAsia="Arial" w:hAnsi="Times New Roman" w:cs="Times New Roman"/>
          <w:color w:val="auto"/>
          <w:sz w:val="24"/>
          <w:szCs w:val="24"/>
        </w:rPr>
        <w:t>, en cada caso.</w:t>
      </w:r>
    </w:p>
    <w:p w:rsidR="00562A99" w:rsidRPr="007E56DA" w:rsidRDefault="00562A99" w:rsidP="0065650C">
      <w:pPr>
        <w:pStyle w:val="Normal1"/>
        <w:spacing w:after="0" w:line="360" w:lineRule="auto"/>
        <w:jc w:val="both"/>
        <w:rPr>
          <w:rFonts w:ascii="Times New Roman" w:hAnsi="Times New Roman" w:cs="Times New Roman"/>
          <w:color w:val="auto"/>
          <w:sz w:val="24"/>
          <w:szCs w:val="24"/>
        </w:rPr>
      </w:pPr>
    </w:p>
    <w:p w:rsidR="00562A99" w:rsidRPr="007E56DA" w:rsidRDefault="00407E62" w:rsidP="0058457E">
      <w:pPr>
        <w:pStyle w:val="Normal1"/>
        <w:spacing w:after="0" w:line="360" w:lineRule="auto"/>
        <w:jc w:val="both"/>
        <w:outlineLvl w:val="0"/>
        <w:rPr>
          <w:rFonts w:ascii="Times New Roman" w:hAnsi="Times New Roman" w:cs="Times New Roman"/>
          <w:color w:val="auto"/>
          <w:sz w:val="24"/>
          <w:szCs w:val="24"/>
        </w:rPr>
      </w:pPr>
      <w:r w:rsidRPr="007E56DA">
        <w:rPr>
          <w:rFonts w:ascii="Times New Roman" w:eastAsia="Arial" w:hAnsi="Times New Roman" w:cs="Times New Roman"/>
          <w:b/>
          <w:color w:val="auto"/>
          <w:sz w:val="24"/>
          <w:szCs w:val="24"/>
        </w:rPr>
        <w:t>Palabras clave</w:t>
      </w:r>
    </w:p>
    <w:p w:rsidR="00562A99" w:rsidRPr="007E56DA" w:rsidRDefault="00407E62"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Organizaciones de la sociedad civil (OSC) – Democracia - Políticas públicas - Agentes sociales - Estrategias.</w:t>
      </w:r>
    </w:p>
    <w:p w:rsidR="001A0D18" w:rsidRPr="007E56DA" w:rsidRDefault="001A0D18" w:rsidP="0065650C">
      <w:pPr>
        <w:pStyle w:val="Normal1"/>
        <w:spacing w:after="0" w:line="360" w:lineRule="auto"/>
        <w:jc w:val="both"/>
        <w:rPr>
          <w:rFonts w:ascii="Times New Roman" w:hAnsi="Times New Roman" w:cs="Times New Roman"/>
          <w:color w:val="auto"/>
          <w:sz w:val="24"/>
          <w:szCs w:val="24"/>
          <w:lang w:val="en-US"/>
        </w:rPr>
      </w:pPr>
    </w:p>
    <w:p w:rsidR="00562A99" w:rsidRPr="007E56DA" w:rsidRDefault="00407E62" w:rsidP="0065650C">
      <w:pPr>
        <w:pStyle w:val="Normal1"/>
        <w:numPr>
          <w:ilvl w:val="0"/>
          <w:numId w:val="4"/>
        </w:numPr>
        <w:spacing w:after="0" w:line="360" w:lineRule="auto"/>
        <w:ind w:left="0" w:firstLine="0"/>
        <w:contextualSpacing/>
        <w:jc w:val="both"/>
        <w:rPr>
          <w:rFonts w:ascii="Times New Roman" w:eastAsia="Arial" w:hAnsi="Times New Roman" w:cs="Times New Roman"/>
          <w:b/>
          <w:color w:val="auto"/>
          <w:sz w:val="24"/>
          <w:szCs w:val="24"/>
        </w:rPr>
      </w:pPr>
      <w:r w:rsidRPr="007E56DA">
        <w:rPr>
          <w:rFonts w:ascii="Times New Roman" w:eastAsia="Arial" w:hAnsi="Times New Roman" w:cs="Times New Roman"/>
          <w:b/>
          <w:color w:val="auto"/>
          <w:sz w:val="24"/>
          <w:szCs w:val="24"/>
        </w:rPr>
        <w:t>Introducción</w:t>
      </w:r>
    </w:p>
    <w:p w:rsidR="002010B0" w:rsidRPr="007E56DA" w:rsidRDefault="00407E62"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En este trabajo analizamos y comparamos las estrategias que dos OSC sin fines de lucro llevaron adelante para incidir</w:t>
      </w:r>
      <w:r w:rsidR="00B351B9" w:rsidRPr="007E56DA">
        <w:rPr>
          <w:rStyle w:val="Refdenotaalpie"/>
          <w:rFonts w:ascii="Times New Roman" w:eastAsia="Arial" w:hAnsi="Times New Roman" w:cs="Times New Roman"/>
          <w:color w:val="auto"/>
          <w:sz w:val="24"/>
          <w:szCs w:val="24"/>
        </w:rPr>
        <w:footnoteReference w:id="3"/>
      </w:r>
      <w:r w:rsidRPr="007E56DA">
        <w:rPr>
          <w:rFonts w:ascii="Times New Roman" w:eastAsia="Arial" w:hAnsi="Times New Roman" w:cs="Times New Roman"/>
          <w:color w:val="auto"/>
          <w:sz w:val="24"/>
          <w:szCs w:val="24"/>
        </w:rPr>
        <w:t xml:space="preserve"> en la definición de políticas públicas</w:t>
      </w:r>
      <w:r w:rsidR="002010B0" w:rsidRPr="007E56DA">
        <w:rPr>
          <w:rFonts w:ascii="Times New Roman" w:eastAsia="Arial" w:hAnsi="Times New Roman" w:cs="Times New Roman"/>
          <w:color w:val="auto"/>
          <w:sz w:val="24"/>
          <w:szCs w:val="24"/>
          <w:vertAlign w:val="superscript"/>
        </w:rPr>
        <w:footnoteReference w:id="4"/>
      </w:r>
      <w:r w:rsidR="002010B0" w:rsidRPr="007E56DA">
        <w:rPr>
          <w:rFonts w:ascii="Times New Roman" w:eastAsia="Arial" w:hAnsi="Times New Roman" w:cs="Times New Roman"/>
          <w:color w:val="auto"/>
          <w:sz w:val="24"/>
          <w:szCs w:val="24"/>
        </w:rPr>
        <w:t>: la fundación María de los Ángeles y la asociación civil Justicia Legítima. Estas OSC, a pesar de sus trayectorias divergentes, tuvieron un punto de encuentro histórico que potenció la visibilidad y el reconocimiento público de sus reclamos. El factor de convergencia se relaciona con los sentidos de justicia puestos en tensión:</w:t>
      </w:r>
    </w:p>
    <w:p w:rsidR="00482C70" w:rsidRPr="007E56DA" w:rsidRDefault="00482C70" w:rsidP="0065650C">
      <w:pPr>
        <w:pStyle w:val="Normal1"/>
        <w:spacing w:after="0" w:line="360" w:lineRule="auto"/>
        <w:jc w:val="both"/>
        <w:rPr>
          <w:rFonts w:ascii="Times New Roman" w:hAnsi="Times New Roman" w:cs="Times New Roman"/>
          <w:color w:val="auto"/>
          <w:sz w:val="24"/>
          <w:szCs w:val="24"/>
        </w:rPr>
      </w:pPr>
    </w:p>
    <w:p w:rsidR="002010B0" w:rsidRPr="007E56DA" w:rsidRDefault="002010B0" w:rsidP="00482C70">
      <w:pPr>
        <w:pStyle w:val="Normal1"/>
        <w:spacing w:after="0" w:line="360" w:lineRule="auto"/>
        <w:ind w:left="720"/>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lastRenderedPageBreak/>
        <w:t>Dos sucesos judiciales hicieron que diciembre de 2012 anticipara lo que venía al año siguiente: la absolución de los acusados del secuestro de Marita Verón y una nueva prórroga para que a Clarín no le aplicaran la Ley de Medios (...) Cristina Kirchner habló de “democratización” ante la desazón, compartida de la luchadora Susana Trimarco y prometió una reforma frente al “divorcio entre la sociedad y la Justicia”. Esa palabra ya flotaba en el ambiente entre jueces, fiscales, secretarios, defensores y otros integrantes del sistema de justicia que no se sentían representados (...). Fue el germen de Justicia Legítima. (</w:t>
      </w:r>
      <w:r w:rsidRPr="007E56DA">
        <w:rPr>
          <w:rFonts w:ascii="Times New Roman" w:eastAsia="Arial" w:hAnsi="Times New Roman" w:cs="Times New Roman"/>
          <w:i/>
          <w:color w:val="auto"/>
          <w:sz w:val="24"/>
          <w:szCs w:val="24"/>
        </w:rPr>
        <w:t>Página 12</w:t>
      </w:r>
      <w:r w:rsidRPr="007E56DA">
        <w:rPr>
          <w:rFonts w:ascii="Times New Roman" w:eastAsia="Arial" w:hAnsi="Times New Roman" w:cs="Times New Roman"/>
          <w:color w:val="auto"/>
          <w:sz w:val="24"/>
          <w:szCs w:val="24"/>
        </w:rPr>
        <w:t>, 10/12/15)</w:t>
      </w:r>
      <w:r w:rsidRPr="007E56DA">
        <w:rPr>
          <w:rFonts w:ascii="Times New Roman" w:eastAsia="Arial" w:hAnsi="Times New Roman" w:cs="Times New Roman"/>
          <w:color w:val="auto"/>
          <w:sz w:val="24"/>
          <w:szCs w:val="24"/>
          <w:vertAlign w:val="superscript"/>
        </w:rPr>
        <w:footnoteReference w:id="5"/>
      </w:r>
    </w:p>
    <w:p w:rsidR="00482C70" w:rsidRPr="007E56DA" w:rsidRDefault="00482C70" w:rsidP="00482C70">
      <w:pPr>
        <w:pStyle w:val="Normal1"/>
        <w:spacing w:after="0" w:line="360" w:lineRule="auto"/>
        <w:ind w:left="720"/>
        <w:jc w:val="both"/>
        <w:rPr>
          <w:rFonts w:ascii="Times New Roman" w:hAnsi="Times New Roman" w:cs="Times New Roman"/>
          <w:color w:val="auto"/>
          <w:sz w:val="24"/>
          <w:szCs w:val="24"/>
        </w:rPr>
      </w:pPr>
    </w:p>
    <w:p w:rsidR="002010B0" w:rsidRPr="007E56DA" w:rsidRDefault="00B766DB"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Con Segura y otros (2016) consideramos que l</w:t>
      </w:r>
      <w:r w:rsidR="002010B0" w:rsidRPr="007E56DA">
        <w:rPr>
          <w:rFonts w:ascii="Times New Roman" w:eastAsia="Arial" w:hAnsi="Times New Roman" w:cs="Times New Roman"/>
          <w:color w:val="auto"/>
          <w:sz w:val="24"/>
          <w:szCs w:val="24"/>
        </w:rPr>
        <w:t>as OSC participan de luchas simbólicas por imponer la interpretación pública legítima de –en estos casos-, derechos humanos fundamentales como la integridad de las mujeres, y la forma de organización y aplicación de la justicia. En esos procesos, proponen conceptos y significados alternativos a los dominantes, buscando influir en los modos de percibir la realidad y de relacionarse con otros, vencer resistencias y prejuicios, y afectar costumbres y giros del lenguaje (Margulis, 2014). Para participar de la disputa pública por los sentidos socialmente aceptados de diversos ámbitos sociales, es necesaria su construcción discursiva y su presentación y debate en el espacio público</w:t>
      </w:r>
      <w:r w:rsidR="002010B0" w:rsidRPr="007E56DA">
        <w:rPr>
          <w:rFonts w:ascii="Times New Roman" w:eastAsia="Arial" w:hAnsi="Times New Roman" w:cs="Times New Roman"/>
          <w:color w:val="auto"/>
          <w:sz w:val="24"/>
          <w:szCs w:val="24"/>
          <w:vertAlign w:val="superscript"/>
        </w:rPr>
        <w:footnoteReference w:id="6"/>
      </w:r>
      <w:r w:rsidR="00DC49A2"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Al mismo tiempo, estas disputas simbólicas son las luchas políticas por excelencia, indisociables de las pujas materiales por la dominación (Bourdieu, 2000). </w:t>
      </w:r>
    </w:p>
    <w:p w:rsidR="002010B0"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Las OSC presentan diferentes objetivos, formas organizativas, de financiamiento, cantidad y calidad de recursos, adscripciones ideológicas con posicionamientos más o menos explícitos y también distintas maneras de relación con el sector privado y el estatal</w:t>
      </w:r>
      <w:r w:rsidR="00DC49A2" w:rsidRPr="007E56DA">
        <w:rPr>
          <w:rFonts w:ascii="Times New Roman" w:eastAsia="Arial" w:hAnsi="Times New Roman" w:cs="Times New Roman"/>
          <w:color w:val="auto"/>
          <w:sz w:val="24"/>
          <w:szCs w:val="24"/>
        </w:rPr>
        <w:t xml:space="preserve"> y transnacional</w:t>
      </w:r>
      <w:r w:rsidRPr="007E56DA">
        <w:rPr>
          <w:rFonts w:ascii="Times New Roman" w:eastAsia="Arial" w:hAnsi="Times New Roman" w:cs="Times New Roman"/>
          <w:color w:val="auto"/>
          <w:sz w:val="24"/>
          <w:szCs w:val="24"/>
        </w:rPr>
        <w:t xml:space="preserve">. Con sus prácticas disputan la construcción del espacio público, razón por la cual entendemos que su fortalecimiento y su participación en la definición de políticas públicas representa la posibilidad del fortalecimiento de la democracia </w:t>
      </w:r>
      <w:r w:rsidRPr="007E56DA">
        <w:rPr>
          <w:rFonts w:ascii="Times New Roman" w:eastAsia="Arial" w:hAnsi="Times New Roman" w:cs="Times New Roman"/>
          <w:color w:val="auto"/>
          <w:sz w:val="24"/>
          <w:szCs w:val="24"/>
        </w:rPr>
        <w:lastRenderedPageBreak/>
        <w:t>(Sorj, 2010; Iazzetta, 2005; Ghon, 2004; Meiksins, 2000), en términos de legitimación de las decisiones estatales cuando éstas son resultado de procesos de debate público con la participación de los sectores sociales implicados.</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Las OSC que estudiamos impulsan demandas sociales concretas y surgen desde lugares sociales marginales dentro de los sistemas de relaciones desde los cuales se articulan como asociación civil, una, y como fundación, la otra, contando inicialmente </w:t>
      </w:r>
      <w:r w:rsidR="009E5FE2" w:rsidRPr="007E56DA">
        <w:rPr>
          <w:rFonts w:ascii="Times New Roman" w:eastAsia="Arial" w:hAnsi="Times New Roman" w:cs="Times New Roman"/>
          <w:color w:val="auto"/>
          <w:sz w:val="24"/>
          <w:szCs w:val="24"/>
        </w:rPr>
        <w:t>c</w:t>
      </w:r>
      <w:r w:rsidRPr="007E56DA">
        <w:rPr>
          <w:rFonts w:ascii="Times New Roman" w:eastAsia="Arial" w:hAnsi="Times New Roman" w:cs="Times New Roman"/>
          <w:color w:val="auto"/>
          <w:sz w:val="24"/>
          <w:szCs w:val="24"/>
        </w:rPr>
        <w:t>on escaso pod</w:t>
      </w:r>
      <w:r w:rsidR="006216BB" w:rsidRPr="007E56DA">
        <w:rPr>
          <w:rFonts w:ascii="Times New Roman" w:eastAsia="Arial" w:hAnsi="Times New Roman" w:cs="Times New Roman"/>
          <w:color w:val="auto"/>
          <w:sz w:val="24"/>
          <w:szCs w:val="24"/>
        </w:rPr>
        <w:t xml:space="preserve">er relativo para incidir en la </w:t>
      </w:r>
      <w:r w:rsidR="00FC1CB0" w:rsidRPr="007E56DA">
        <w:rPr>
          <w:rFonts w:ascii="Times New Roman" w:eastAsia="Arial" w:hAnsi="Times New Roman" w:cs="Times New Roman"/>
          <w:color w:val="auto"/>
          <w:sz w:val="24"/>
          <w:szCs w:val="24"/>
        </w:rPr>
        <w:t>definición de políticas</w:t>
      </w:r>
      <w:r w:rsidR="006216BB" w:rsidRPr="007E56DA">
        <w:rPr>
          <w:rStyle w:val="Refdenotaalpie"/>
          <w:rFonts w:ascii="Times New Roman" w:eastAsia="Arial" w:hAnsi="Times New Roman" w:cs="Times New Roman"/>
          <w:color w:val="auto"/>
          <w:sz w:val="24"/>
          <w:szCs w:val="24"/>
        </w:rPr>
        <w:footnoteReference w:id="7"/>
      </w:r>
      <w:r w:rsidRPr="007E56DA">
        <w:rPr>
          <w:rFonts w:ascii="Times New Roman" w:eastAsia="Arial" w:hAnsi="Times New Roman" w:cs="Times New Roman"/>
          <w:color w:val="auto"/>
          <w:sz w:val="24"/>
          <w:szCs w:val="24"/>
        </w:rPr>
        <w:t xml:space="preserve"> con respecto a la justicia y a la trata de personas</w:t>
      </w:r>
      <w:r w:rsidRPr="007E56DA">
        <w:rPr>
          <w:rFonts w:ascii="Times New Roman" w:eastAsia="Arial" w:hAnsi="Times New Roman" w:cs="Times New Roman"/>
          <w:color w:val="auto"/>
          <w:sz w:val="24"/>
          <w:szCs w:val="24"/>
          <w:vertAlign w:val="superscript"/>
        </w:rPr>
        <w:footnoteReference w:id="8"/>
      </w:r>
      <w:r w:rsidRPr="007E56DA">
        <w:rPr>
          <w:rFonts w:ascii="Times New Roman" w:eastAsia="Arial" w:hAnsi="Times New Roman" w:cs="Times New Roman"/>
          <w:color w:val="auto"/>
          <w:sz w:val="24"/>
          <w:szCs w:val="24"/>
        </w:rPr>
        <w:t xml:space="preserve">, respectivamente.  </w:t>
      </w:r>
    </w:p>
    <w:p w:rsidR="002010B0" w:rsidRPr="007E56DA" w:rsidRDefault="002010B0" w:rsidP="00505FB3">
      <w:pPr>
        <w:pStyle w:val="Normal1"/>
        <w:tabs>
          <w:tab w:val="left" w:pos="2410"/>
        </w:tabs>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Pudimos reconocer que sus estrategias se habrían orientado a la construcción de enunciadores legítimos y de problemas legítimos, así como a la visibilización de tales construcciones. Esto, en un marco particular, entendido en tanto condiciones de enunciabilidad que hicieron “aceptables” sus reclamos de democratización de distintos ámbitos de lo social. Pero además, consideramos que sus posibilidades de incidencia se comprenden y explican a partir de sus particulares posiciones en sistemas de relación específicos y de sus competencias –en términos de recursos materiales y simbólicos que configuraron sus capacidades de hacer-, definidas en tales posiciones. Es en esos entramados que ambas OSC habrían desplegado estrategias particulares en pos de la concreción de sus propósitos. Y es a partir de nuestro análisis de las características de tales entramados, así como de sus respectivas prácticas estratégicas, que intentamos explicar los distintos resultados que obtuvieron ambas OSC, más o menos exitosos, como veremos en cada caso.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p>
    <w:p w:rsidR="002010B0" w:rsidRPr="007E56DA" w:rsidRDefault="002010B0" w:rsidP="0065650C">
      <w:pPr>
        <w:pStyle w:val="Normal1"/>
        <w:numPr>
          <w:ilvl w:val="0"/>
          <w:numId w:val="4"/>
        </w:numPr>
        <w:spacing w:after="0" w:line="360" w:lineRule="auto"/>
        <w:ind w:left="0" w:firstLine="0"/>
        <w:contextualSpacing/>
        <w:jc w:val="both"/>
        <w:rPr>
          <w:rFonts w:ascii="Times New Roman" w:eastAsia="Arial" w:hAnsi="Times New Roman" w:cs="Times New Roman"/>
          <w:b/>
          <w:color w:val="auto"/>
          <w:sz w:val="24"/>
          <w:szCs w:val="24"/>
        </w:rPr>
      </w:pPr>
      <w:r w:rsidRPr="007E56DA">
        <w:rPr>
          <w:rFonts w:ascii="Times New Roman" w:eastAsia="Arial" w:hAnsi="Times New Roman" w:cs="Times New Roman"/>
          <w:b/>
          <w:color w:val="auto"/>
          <w:sz w:val="24"/>
          <w:szCs w:val="24"/>
        </w:rPr>
        <w:t>Sobre nuestro enfoque teórico y el abordaje metodológico</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Asumiendo que las características de las prácticas que analizamos guardan relación con el lugar desde el cual se las produce, necesitamos definir algunos supuestos sobre el modo en que se relacionan ambas dimensiones. Para empezar, si entendemos que toda práctica remite a un agente social que la realiza, tendremos que definir una manera de </w:t>
      </w:r>
      <w:r w:rsidRPr="007E56DA">
        <w:rPr>
          <w:rFonts w:ascii="Times New Roman" w:eastAsia="Arial" w:hAnsi="Times New Roman" w:cs="Times New Roman"/>
          <w:color w:val="auto"/>
          <w:sz w:val="24"/>
          <w:szCs w:val="24"/>
        </w:rPr>
        <w:lastRenderedPageBreak/>
        <w:t>entender las condiciones que acotan al tiempo que hacen posible de cierta forma su capacidad de producir su práctica.</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Del modo en que lo estamos concibiendo, no se trata de un sujeto empírico ni del sujeto trascendental, sino de un sujeto epistémico</w:t>
      </w:r>
      <w:r w:rsidRPr="007E56DA">
        <w:rPr>
          <w:rFonts w:ascii="Times New Roman" w:eastAsia="Arial" w:hAnsi="Times New Roman" w:cs="Times New Roman"/>
          <w:color w:val="auto"/>
          <w:sz w:val="24"/>
          <w:szCs w:val="24"/>
          <w:vertAlign w:val="superscript"/>
        </w:rPr>
        <w:footnoteReference w:id="9"/>
      </w:r>
      <w:r w:rsidRPr="007E56DA">
        <w:rPr>
          <w:rFonts w:ascii="Times New Roman" w:eastAsia="Arial" w:hAnsi="Times New Roman" w:cs="Times New Roman"/>
          <w:color w:val="auto"/>
          <w:sz w:val="24"/>
          <w:szCs w:val="24"/>
        </w:rPr>
        <w:t xml:space="preserve">, es decir, definido por el investigador. Metodológicamente, construimos al agente social considerando tres dimensiones: las de lugar, competencia y gestión.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El </w:t>
      </w:r>
      <w:r w:rsidRPr="007E56DA">
        <w:rPr>
          <w:rFonts w:ascii="Times New Roman" w:eastAsia="Arial" w:hAnsi="Times New Roman" w:cs="Times New Roman"/>
          <w:i/>
          <w:color w:val="auto"/>
          <w:sz w:val="24"/>
          <w:szCs w:val="24"/>
        </w:rPr>
        <w:t>lugar</w:t>
      </w:r>
      <w:r w:rsidRPr="007E56DA">
        <w:rPr>
          <w:rFonts w:ascii="Times New Roman" w:eastAsia="Arial" w:hAnsi="Times New Roman" w:cs="Times New Roman"/>
          <w:color w:val="auto"/>
          <w:sz w:val="24"/>
          <w:szCs w:val="24"/>
        </w:rPr>
        <w:t xml:space="preserve"> es conceptualizado como sistema de posiciones y de relaciones entre posiciones, el cual define la capacidad y posibilidad relativa de un agente social para actuar en un momento histórico particular. Se trata del “conjunto de propiedades eficientes”, es decir, recursos materiales y simbólicos, dentro de un sistema específico de relaciones, “que opera como criterio de asignación de valor a quienes participan en el mismo espacio” (Mozejko, 2009:10).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Si reconocemos entonces la posición del agente dentro del sistema relaciones como principio de explicación/ comprensión de las prácticas, habrá que dar cuenta, para nuestro trabajo, de aquello que configura tal entramado, el cual es resultado de un proceso histórico. Aquí la noción de trayectoria nos permite incorporar la dimensión del proceso dinámico y conflictivo, de acumulación, pérdida, reconversión de recursos (en cantidad y calidad) en los diferentes ámbitos sociales de inserción (participación, relación) del agente.</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Por otra parte, ese sistema de relaciones define un “en juego” como motor de la puesta en práctica. Aquello que en cada contexto es socialmente valorado, también es de carácter histórico y por ello, contingente, variable en el marco de la redefinición del mismo sistema de relaciones.</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Reconstruir el lugar desde donde el agente lleva adelante sus prácticas, hace posible definir su capacidad diferenciada de relación, fundada en los recursos de los cuales dispone. Asimismo, en las trayectorias de los agentes se conforma, configura y reconfigura la orientación del hacer</w:t>
      </w:r>
      <w:r w:rsidRPr="007E56DA">
        <w:rPr>
          <w:rFonts w:ascii="Times New Roman" w:eastAsia="Arial" w:hAnsi="Times New Roman" w:cs="Times New Roman"/>
          <w:color w:val="auto"/>
          <w:sz w:val="24"/>
          <w:szCs w:val="24"/>
          <w:vertAlign w:val="superscript"/>
        </w:rPr>
        <w:footnoteReference w:id="10"/>
      </w:r>
      <w:r w:rsidRPr="007E56DA">
        <w:rPr>
          <w:rFonts w:ascii="Times New Roman" w:eastAsia="Arial" w:hAnsi="Times New Roman" w:cs="Times New Roman"/>
          <w:color w:val="auto"/>
          <w:sz w:val="24"/>
          <w:szCs w:val="24"/>
        </w:rPr>
        <w:t xml:space="preserve">, es decir, aquello que para un agente resulta más probable/ esperable en función de la sedimentación de experiencias previas (Op. cit, 2001: 19 y ss.).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La capacidad diferenciada de relación y la orientación del hacer definen aquello que los autores entienden en términos de la </w:t>
      </w:r>
      <w:r w:rsidRPr="007E56DA">
        <w:rPr>
          <w:rFonts w:ascii="Times New Roman" w:eastAsia="Arial" w:hAnsi="Times New Roman" w:cs="Times New Roman"/>
          <w:i/>
          <w:color w:val="auto"/>
          <w:sz w:val="24"/>
          <w:szCs w:val="24"/>
        </w:rPr>
        <w:t>competencia</w:t>
      </w:r>
      <w:r w:rsidRPr="007E56DA">
        <w:rPr>
          <w:rFonts w:ascii="Times New Roman" w:eastAsia="Arial" w:hAnsi="Times New Roman" w:cs="Times New Roman"/>
          <w:color w:val="auto"/>
          <w:sz w:val="24"/>
          <w:szCs w:val="24"/>
        </w:rPr>
        <w:t xml:space="preserve"> del agente (Ibidem: 22). La </w:t>
      </w:r>
      <w:r w:rsidRPr="007E56DA">
        <w:rPr>
          <w:rFonts w:ascii="Times New Roman" w:eastAsia="Arial" w:hAnsi="Times New Roman" w:cs="Times New Roman"/>
          <w:color w:val="auto"/>
          <w:sz w:val="24"/>
          <w:szCs w:val="24"/>
        </w:rPr>
        <w:lastRenderedPageBreak/>
        <w:t xml:space="preserve">competencia, es decir, su capacidad y probabilidad de hacer, resulta del grado de su participación en el control/ propiedad de recursos y cualidades que son pertinentes y eficientes –socialmente valoradas, decíamos- dentro de un sistema de relaciones (Ibidem: 14).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La competencia de un agente define su identidad social que, al ser resultado de gestiones anteriores en el marco de su trayectoria, va estableciendo/ re-estableciendo nuevos horizontes, posibilidades de ser aceptado, tenido en cuenta, es decir, su capacidad diferenciada de relación; y a su vez, en tanto experiencia acumulada, constituye un aprendizaje y, por lo tanto, la posible transformación de la propia percepción de lo posible, de lo beneficioso, en otras palabras, su orientación del hacer (Op. cit, 2009: 11- 12).</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Desde nuestra perspectiva llamamos </w:t>
      </w:r>
      <w:r w:rsidRPr="007E56DA">
        <w:rPr>
          <w:rFonts w:ascii="Times New Roman" w:eastAsia="Arial" w:hAnsi="Times New Roman" w:cs="Times New Roman"/>
          <w:i/>
          <w:color w:val="auto"/>
          <w:sz w:val="24"/>
          <w:szCs w:val="24"/>
        </w:rPr>
        <w:t>gestión</w:t>
      </w:r>
      <w:r w:rsidRPr="007E56DA">
        <w:rPr>
          <w:rFonts w:ascii="Times New Roman" w:eastAsia="Arial" w:hAnsi="Times New Roman" w:cs="Times New Roman"/>
          <w:color w:val="auto"/>
          <w:sz w:val="24"/>
          <w:szCs w:val="24"/>
        </w:rPr>
        <w:t xml:space="preserve"> a la puesta en valor de la propia competencia por parte del agente (Ibidem: 11). La capacidad diferenciada de relación y la orientación del hacer configuran un espacio de prácticas posibles para los agentes. Esto quiere decir que cada práctica que realiza un agente no es sino una, dentro de un conjunto de alternativas para actuar. “La existencia de márgenes de autonomía y alternativas de acción (…) es constitutiva de un concepto de acción como estrategia” (Op. cit, 2001:18)</w:t>
      </w:r>
      <w:r w:rsidRPr="007E56DA">
        <w:rPr>
          <w:rFonts w:ascii="Times New Roman" w:eastAsia="Arial" w:hAnsi="Times New Roman" w:cs="Times New Roman"/>
          <w:color w:val="auto"/>
          <w:sz w:val="24"/>
          <w:szCs w:val="24"/>
          <w:vertAlign w:val="superscript"/>
        </w:rPr>
        <w:footnoteReference w:id="11"/>
      </w:r>
      <w:r w:rsidRPr="007E56DA">
        <w:rPr>
          <w:rFonts w:ascii="Times New Roman" w:eastAsia="Arial" w:hAnsi="Times New Roman" w:cs="Times New Roman"/>
          <w:color w:val="auto"/>
          <w:sz w:val="24"/>
          <w:szCs w:val="24"/>
        </w:rPr>
        <w:t xml:space="preserve">. Es en este sentido que decimos que las prácticas de los agentes tienen que ver con opciones estratégicas. Aquí retomamos el supuesto de que la orientación de la acción tiende al menos a la preservación o a la modificación de la distribución de aquello que está en juego en el sistema de relaciones del que participa el agente, y/o a la preservación o a la modificación de las reglas que definen esa distribución (Ibidem: 16 y ss.). De allí lo estratégico de la práctica de los agentes, y que entendamos, consecuentemente, que responden a una intencionalidad no necesariamente consciente, que orienta sus decisiones de inversión (Op. cit, 2009: 11).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Cuando decimos que un agente social tuvo razones para realizar una práctica de cierta manera, no estamos suponiendo que tuvo plena consciencia de sus posibilidades y alternativas y haya actuado, entonces, en base a un cálculo que le indicó de qué manera obtendría el resultado más conveniente</w:t>
      </w:r>
      <w:r w:rsidRPr="007E56DA">
        <w:rPr>
          <w:rFonts w:ascii="Times New Roman" w:eastAsia="Arial" w:hAnsi="Times New Roman" w:cs="Times New Roman"/>
          <w:color w:val="auto"/>
          <w:sz w:val="24"/>
          <w:szCs w:val="24"/>
          <w:vertAlign w:val="superscript"/>
        </w:rPr>
        <w:footnoteReference w:id="12"/>
      </w:r>
      <w:r w:rsidRPr="007E56DA">
        <w:rPr>
          <w:rFonts w:ascii="Times New Roman" w:eastAsia="Arial" w:hAnsi="Times New Roman" w:cs="Times New Roman"/>
          <w:color w:val="auto"/>
          <w:sz w:val="24"/>
          <w:szCs w:val="24"/>
        </w:rPr>
        <w:t xml:space="preserve">. Consideramos, en cambio, que el agente </w:t>
      </w:r>
      <w:r w:rsidRPr="007E56DA">
        <w:rPr>
          <w:rFonts w:ascii="Times New Roman" w:eastAsia="Arial" w:hAnsi="Times New Roman" w:cs="Times New Roman"/>
          <w:color w:val="auto"/>
          <w:sz w:val="24"/>
          <w:szCs w:val="24"/>
        </w:rPr>
        <w:lastRenderedPageBreak/>
        <w:t>social puede ser más o menos consciente del sentido de su práctica</w:t>
      </w:r>
      <w:r w:rsidRPr="007E56DA">
        <w:rPr>
          <w:rFonts w:ascii="Times New Roman" w:eastAsia="Arial" w:hAnsi="Times New Roman" w:cs="Times New Roman"/>
          <w:color w:val="auto"/>
          <w:sz w:val="24"/>
          <w:szCs w:val="24"/>
          <w:vertAlign w:val="superscript"/>
        </w:rPr>
        <w:footnoteReference w:id="13"/>
      </w:r>
      <w:r w:rsidRPr="007E56DA">
        <w:rPr>
          <w:rFonts w:ascii="Times New Roman" w:eastAsia="Arial" w:hAnsi="Times New Roman" w:cs="Times New Roman"/>
          <w:color w:val="auto"/>
          <w:sz w:val="24"/>
          <w:szCs w:val="24"/>
        </w:rPr>
        <w:t>, pero que ésta resulta coherente respecto de su lugar social de producción</w:t>
      </w:r>
      <w:r w:rsidRPr="007E56DA">
        <w:rPr>
          <w:rFonts w:ascii="Times New Roman" w:eastAsia="Arial" w:hAnsi="Times New Roman" w:cs="Times New Roman"/>
          <w:color w:val="auto"/>
          <w:sz w:val="24"/>
          <w:szCs w:val="24"/>
          <w:vertAlign w:val="superscript"/>
        </w:rPr>
        <w:footnoteReference w:id="14"/>
      </w:r>
      <w:r w:rsidRPr="007E56DA">
        <w:rPr>
          <w:rFonts w:ascii="Times New Roman" w:eastAsia="Arial" w:hAnsi="Times New Roman" w:cs="Times New Roman"/>
          <w:color w:val="auto"/>
          <w:sz w:val="24"/>
          <w:szCs w:val="24"/>
        </w:rPr>
        <w:t xml:space="preserve"> (Op. cit, 2001: 115 y ss.). </w:t>
      </w:r>
    </w:p>
    <w:p w:rsidR="002010B0"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Estamos planteando la posibilidad de </w:t>
      </w:r>
      <w:r w:rsidR="00750FE2" w:rsidRPr="007E56DA">
        <w:rPr>
          <w:rFonts w:ascii="Times New Roman" w:eastAsia="Arial" w:hAnsi="Times New Roman" w:cs="Times New Roman"/>
          <w:color w:val="auto"/>
          <w:sz w:val="24"/>
          <w:szCs w:val="24"/>
        </w:rPr>
        <w:t>proponer</w:t>
      </w:r>
      <w:r w:rsidRPr="007E56DA">
        <w:rPr>
          <w:rFonts w:ascii="Times New Roman" w:eastAsia="Arial" w:hAnsi="Times New Roman" w:cs="Times New Roman"/>
          <w:color w:val="auto"/>
          <w:sz w:val="24"/>
          <w:szCs w:val="24"/>
        </w:rPr>
        <w:t xml:space="preserve"> un principio de comprensión/explicación (Costa, 2010) en el lugar que define la identidad social de los agentes que los producen (Mozejko y Costa, 2002), sin negar la incidencia que pueden tener en las opciones de los agentes los valores esgrimidos como razones de sus prácticas. Se plantea, sin embargo, como hipótesis, que las opciones que las caracterizan encuentran una mayor eficacia explicativa al relacionarlas con la posición relativa de poder que define a los agentes que las producen, más que con sus ideas y principios. </w:t>
      </w:r>
    </w:p>
    <w:p w:rsidR="00D277C0" w:rsidRPr="007E56DA" w:rsidRDefault="00D277C0" w:rsidP="00D277C0">
      <w:pPr>
        <w:pStyle w:val="Normal1"/>
        <w:spacing w:after="0" w:line="360" w:lineRule="auto"/>
        <w:jc w:val="both"/>
        <w:rPr>
          <w:rFonts w:ascii="Times New Roman" w:hAnsi="Times New Roman" w:cs="Times New Roman"/>
          <w:color w:val="auto"/>
          <w:sz w:val="24"/>
          <w:szCs w:val="24"/>
          <w:shd w:val="clear" w:color="auto" w:fill="FFFFFF"/>
        </w:rPr>
      </w:pPr>
      <w:r w:rsidRPr="007E56DA">
        <w:rPr>
          <w:rFonts w:ascii="Times New Roman" w:hAnsi="Times New Roman" w:cs="Times New Roman"/>
          <w:color w:val="auto"/>
          <w:sz w:val="24"/>
          <w:szCs w:val="24"/>
          <w:shd w:val="clear" w:color="auto" w:fill="FFFFFF"/>
        </w:rPr>
        <w:t>En este punto, definimos a la OSC como agente colectivo</w:t>
      </w:r>
      <w:r w:rsidR="007D4F9C" w:rsidRPr="007E56DA">
        <w:rPr>
          <w:rStyle w:val="Refdenotaalpie"/>
          <w:rFonts w:ascii="Times New Roman" w:hAnsi="Times New Roman" w:cs="Times New Roman"/>
          <w:color w:val="auto"/>
          <w:sz w:val="24"/>
          <w:szCs w:val="24"/>
          <w:shd w:val="clear" w:color="auto" w:fill="FFFFFF"/>
        </w:rPr>
        <w:footnoteReference w:id="15"/>
      </w:r>
      <w:r w:rsidRPr="007E56DA">
        <w:rPr>
          <w:rFonts w:ascii="Times New Roman" w:hAnsi="Times New Roman" w:cs="Times New Roman"/>
          <w:color w:val="auto"/>
          <w:sz w:val="24"/>
          <w:szCs w:val="24"/>
          <w:shd w:val="clear" w:color="auto" w:fill="FFFFFF"/>
        </w:rPr>
        <w:t xml:space="preserve">, conformado por agentes individuales articulados en el marco de la organización, que pueden poner en juego sus competencias configuradas tanto en el marco de sus trayectorias particulares, como en su trayectoria común como organización; en los sistemas de relaciones en los que se insertan, en relación con otras OSC, con redes de asociaciones, con el gobierno a cargo del Estado, con el sector privado, con organizaciones locales e internacionales, etc.   </w:t>
      </w:r>
    </w:p>
    <w:p w:rsidR="00D277C0" w:rsidRPr="007E56DA" w:rsidRDefault="00FC1CB0" w:rsidP="006610C3">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Desde este enfoque</w:t>
      </w:r>
      <w:r w:rsidR="00A665E3" w:rsidRPr="007E56DA">
        <w:rPr>
          <w:rFonts w:ascii="Times New Roman" w:eastAsia="Arial" w:hAnsi="Times New Roman" w:cs="Times New Roman"/>
          <w:color w:val="auto"/>
          <w:sz w:val="24"/>
          <w:szCs w:val="24"/>
        </w:rPr>
        <w:t xml:space="preserve">, en consecuencia, </w:t>
      </w:r>
      <w:r w:rsidRPr="007E56DA">
        <w:rPr>
          <w:rFonts w:ascii="Times New Roman" w:eastAsia="Arial" w:hAnsi="Times New Roman" w:cs="Times New Roman"/>
          <w:color w:val="auto"/>
          <w:sz w:val="24"/>
          <w:szCs w:val="24"/>
        </w:rPr>
        <w:t xml:space="preserve">ponemos en tensión las visiones de las </w:t>
      </w:r>
      <w:r w:rsidR="00DB2C40" w:rsidRPr="007E56DA">
        <w:rPr>
          <w:rFonts w:ascii="Times New Roman" w:eastAsia="Arial" w:hAnsi="Times New Roman" w:cs="Times New Roman"/>
          <w:color w:val="auto"/>
          <w:sz w:val="24"/>
          <w:szCs w:val="24"/>
        </w:rPr>
        <w:t>políticas públicas definidas exclusivamente por las élites políticas y económicas</w:t>
      </w:r>
      <w:r w:rsidR="006610C3" w:rsidRPr="007E56DA">
        <w:rPr>
          <w:rFonts w:ascii="Times New Roman" w:eastAsia="Arial" w:hAnsi="Times New Roman" w:cs="Times New Roman"/>
          <w:color w:val="auto"/>
          <w:sz w:val="24"/>
          <w:szCs w:val="24"/>
        </w:rPr>
        <w:t>, reconoc</w:t>
      </w:r>
      <w:r w:rsidR="00B40CD5" w:rsidRPr="007E56DA">
        <w:rPr>
          <w:rFonts w:ascii="Times New Roman" w:eastAsia="Arial" w:hAnsi="Times New Roman" w:cs="Times New Roman"/>
          <w:color w:val="auto"/>
          <w:sz w:val="24"/>
          <w:szCs w:val="24"/>
        </w:rPr>
        <w:t>iendo</w:t>
      </w:r>
      <w:r w:rsidR="006610C3" w:rsidRPr="007E56DA">
        <w:rPr>
          <w:rFonts w:ascii="Times New Roman" w:eastAsia="Arial" w:hAnsi="Times New Roman" w:cs="Times New Roman"/>
          <w:color w:val="auto"/>
          <w:sz w:val="24"/>
          <w:szCs w:val="24"/>
        </w:rPr>
        <w:t xml:space="preserve"> las relaciones entre actores estatales y sociales</w:t>
      </w:r>
      <w:r w:rsidR="00B40CD5" w:rsidRPr="007E56DA">
        <w:rPr>
          <w:rFonts w:ascii="Times New Roman" w:eastAsia="Arial" w:hAnsi="Times New Roman" w:cs="Times New Roman"/>
          <w:color w:val="auto"/>
          <w:sz w:val="24"/>
          <w:szCs w:val="24"/>
        </w:rPr>
        <w:t xml:space="preserve">. </w:t>
      </w:r>
      <w:r w:rsidR="00DB2C40" w:rsidRPr="007E56DA">
        <w:rPr>
          <w:rFonts w:ascii="Times New Roman" w:eastAsia="Arial" w:hAnsi="Times New Roman" w:cs="Times New Roman"/>
          <w:color w:val="auto"/>
          <w:sz w:val="24"/>
          <w:szCs w:val="24"/>
        </w:rPr>
        <w:t xml:space="preserve">En su lugar, reconocemos el papel </w:t>
      </w:r>
      <w:r w:rsidR="00A665E3" w:rsidRPr="007E56DA">
        <w:rPr>
          <w:rFonts w:ascii="Times New Roman" w:eastAsia="Arial" w:hAnsi="Times New Roman" w:cs="Times New Roman"/>
          <w:color w:val="auto"/>
          <w:sz w:val="24"/>
          <w:szCs w:val="24"/>
        </w:rPr>
        <w:t xml:space="preserve">activo </w:t>
      </w:r>
      <w:r w:rsidR="00DB2C40" w:rsidRPr="007E56DA">
        <w:rPr>
          <w:rFonts w:ascii="Times New Roman" w:eastAsia="Arial" w:hAnsi="Times New Roman" w:cs="Times New Roman"/>
          <w:color w:val="auto"/>
          <w:sz w:val="24"/>
          <w:szCs w:val="24"/>
        </w:rPr>
        <w:t xml:space="preserve">de los actores sociales </w:t>
      </w:r>
      <w:r w:rsidR="00A665E3" w:rsidRPr="007E56DA">
        <w:rPr>
          <w:rFonts w:ascii="Times New Roman" w:eastAsia="Arial" w:hAnsi="Times New Roman" w:cs="Times New Roman"/>
          <w:color w:val="auto"/>
          <w:sz w:val="24"/>
          <w:szCs w:val="24"/>
        </w:rPr>
        <w:t>en esas disputas de poder</w:t>
      </w:r>
      <w:r w:rsidR="00567D09" w:rsidRPr="007E56DA">
        <w:rPr>
          <w:rFonts w:ascii="Times New Roman" w:eastAsia="Arial" w:hAnsi="Times New Roman" w:cs="Times New Roman"/>
          <w:color w:val="auto"/>
          <w:sz w:val="24"/>
          <w:szCs w:val="24"/>
        </w:rPr>
        <w:t xml:space="preserve"> (</w:t>
      </w:r>
      <w:r w:rsidR="00F52973" w:rsidRPr="007E56DA">
        <w:rPr>
          <w:rFonts w:ascii="Times New Roman" w:eastAsia="Arial" w:hAnsi="Times New Roman" w:cs="Times New Roman"/>
          <w:color w:val="auto"/>
          <w:sz w:val="24"/>
          <w:szCs w:val="24"/>
        </w:rPr>
        <w:t xml:space="preserve">De Piero, 2005; </w:t>
      </w:r>
      <w:r w:rsidR="00567D09" w:rsidRPr="007E56DA">
        <w:rPr>
          <w:rFonts w:ascii="Times New Roman" w:eastAsia="Arial" w:hAnsi="Times New Roman" w:cs="Times New Roman"/>
          <w:color w:val="auto"/>
          <w:sz w:val="24"/>
          <w:szCs w:val="24"/>
        </w:rPr>
        <w:t>Freedman, 2008)</w:t>
      </w:r>
      <w:r w:rsidR="00B40CD5" w:rsidRPr="007E56DA">
        <w:rPr>
          <w:rFonts w:ascii="Times New Roman" w:eastAsia="Arial" w:hAnsi="Times New Roman" w:cs="Times New Roman"/>
          <w:color w:val="auto"/>
          <w:sz w:val="24"/>
          <w:szCs w:val="24"/>
        </w:rPr>
        <w:t>. Esto</w:t>
      </w:r>
      <w:r w:rsidR="00A665E3" w:rsidRPr="007E56DA">
        <w:rPr>
          <w:rFonts w:ascii="Times New Roman" w:eastAsia="Arial" w:hAnsi="Times New Roman" w:cs="Times New Roman"/>
          <w:color w:val="auto"/>
          <w:sz w:val="24"/>
          <w:szCs w:val="24"/>
        </w:rPr>
        <w:t xml:space="preserve"> nos lleva a entenderlas como el resultado de procesos complejos en los cuales intervienen diversos actores e instituciones con diferente poder relativo</w:t>
      </w:r>
      <w:r w:rsidR="00B40CD5" w:rsidRPr="007E56DA">
        <w:rPr>
          <w:rFonts w:ascii="Times New Roman" w:eastAsia="Arial" w:hAnsi="Times New Roman" w:cs="Times New Roman"/>
          <w:color w:val="auto"/>
          <w:sz w:val="24"/>
          <w:szCs w:val="24"/>
        </w:rPr>
        <w:t>; los cuales</w:t>
      </w:r>
      <w:r w:rsidR="000C177C">
        <w:rPr>
          <w:rFonts w:ascii="Times New Roman" w:eastAsia="Arial" w:hAnsi="Times New Roman" w:cs="Times New Roman"/>
          <w:color w:val="auto"/>
          <w:sz w:val="24"/>
          <w:szCs w:val="24"/>
        </w:rPr>
        <w:t xml:space="preserve"> </w:t>
      </w:r>
      <w:r w:rsidR="00B40CD5" w:rsidRPr="007E56DA">
        <w:rPr>
          <w:rFonts w:ascii="Times New Roman" w:eastAsia="Arial" w:hAnsi="Times New Roman" w:cs="Times New Roman"/>
          <w:color w:val="auto"/>
          <w:sz w:val="24"/>
          <w:szCs w:val="24"/>
        </w:rPr>
        <w:t xml:space="preserve">despliegan </w:t>
      </w:r>
      <w:r w:rsidR="00A665E3" w:rsidRPr="007E56DA">
        <w:rPr>
          <w:rFonts w:ascii="Times New Roman" w:eastAsia="Arial" w:hAnsi="Times New Roman" w:cs="Times New Roman"/>
          <w:color w:val="auto"/>
          <w:sz w:val="24"/>
          <w:szCs w:val="24"/>
        </w:rPr>
        <w:t xml:space="preserve">estrategias </w:t>
      </w:r>
      <w:r w:rsidR="006610C3" w:rsidRPr="007E56DA">
        <w:rPr>
          <w:rFonts w:ascii="Times New Roman" w:eastAsia="Arial" w:hAnsi="Times New Roman" w:cs="Times New Roman"/>
          <w:color w:val="auto"/>
          <w:sz w:val="24"/>
          <w:szCs w:val="24"/>
        </w:rPr>
        <w:t xml:space="preserve">(de alianza, </w:t>
      </w:r>
      <w:r w:rsidR="00CA3B5A" w:rsidRPr="007E56DA">
        <w:rPr>
          <w:rFonts w:ascii="Times New Roman" w:eastAsia="Arial" w:hAnsi="Times New Roman" w:cs="Times New Roman"/>
          <w:color w:val="auto"/>
          <w:sz w:val="24"/>
          <w:szCs w:val="24"/>
        </w:rPr>
        <w:t xml:space="preserve">de confrontación, de producción de información, </w:t>
      </w:r>
      <w:r w:rsidR="006610C3" w:rsidRPr="007E56DA">
        <w:rPr>
          <w:rFonts w:ascii="Times New Roman" w:eastAsia="Arial" w:hAnsi="Times New Roman" w:cs="Times New Roman"/>
          <w:color w:val="auto"/>
          <w:sz w:val="24"/>
          <w:szCs w:val="24"/>
        </w:rPr>
        <w:t xml:space="preserve">de visibilización de las demandas, de denuncia pública, por ejemplo); </w:t>
      </w:r>
      <w:r w:rsidR="00A665E3" w:rsidRPr="007E56DA">
        <w:rPr>
          <w:rFonts w:ascii="Times New Roman" w:eastAsia="Arial" w:hAnsi="Times New Roman" w:cs="Times New Roman"/>
          <w:color w:val="auto"/>
          <w:sz w:val="24"/>
          <w:szCs w:val="24"/>
        </w:rPr>
        <w:t>susceptibles de modificar el sistema de relaciones en el que se insertan y</w:t>
      </w:r>
      <w:r w:rsidR="005A0DF9" w:rsidRPr="007E56DA">
        <w:rPr>
          <w:rFonts w:ascii="Times New Roman" w:eastAsia="Arial" w:hAnsi="Times New Roman" w:cs="Times New Roman"/>
          <w:color w:val="auto"/>
          <w:sz w:val="24"/>
          <w:szCs w:val="24"/>
        </w:rPr>
        <w:t>, por ello,</w:t>
      </w:r>
      <w:r w:rsidR="00A665E3" w:rsidRPr="007E56DA">
        <w:rPr>
          <w:rFonts w:ascii="Times New Roman" w:eastAsia="Arial" w:hAnsi="Times New Roman" w:cs="Times New Roman"/>
          <w:color w:val="auto"/>
          <w:sz w:val="24"/>
          <w:szCs w:val="24"/>
        </w:rPr>
        <w:t xml:space="preserve"> sus propias competencias en términos de capacidad para incidir. </w:t>
      </w:r>
    </w:p>
    <w:p w:rsidR="008A3421" w:rsidRPr="007E56DA" w:rsidRDefault="00A665E3" w:rsidP="00D277C0">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Por este motivo, </w:t>
      </w:r>
      <w:r w:rsidR="006610C3" w:rsidRPr="007E56DA">
        <w:rPr>
          <w:rFonts w:ascii="Times New Roman" w:eastAsia="Arial" w:hAnsi="Times New Roman" w:cs="Times New Roman"/>
          <w:color w:val="auto"/>
          <w:sz w:val="24"/>
          <w:szCs w:val="24"/>
        </w:rPr>
        <w:t xml:space="preserve">las OSC que abordamos aquí serían </w:t>
      </w:r>
      <w:r w:rsidRPr="007E56DA">
        <w:rPr>
          <w:rFonts w:ascii="Times New Roman" w:eastAsia="Arial" w:hAnsi="Times New Roman" w:cs="Times New Roman"/>
          <w:color w:val="auto"/>
          <w:sz w:val="24"/>
          <w:szCs w:val="24"/>
        </w:rPr>
        <w:t>“</w:t>
      </w:r>
      <w:r w:rsidR="00DB2C40" w:rsidRPr="007E56DA">
        <w:rPr>
          <w:rFonts w:ascii="Times New Roman" w:eastAsia="Arial" w:hAnsi="Times New Roman" w:cs="Times New Roman"/>
          <w:color w:val="auto"/>
          <w:sz w:val="24"/>
          <w:szCs w:val="24"/>
        </w:rPr>
        <w:t>actores aparentemente débiles</w:t>
      </w:r>
      <w:r w:rsidR="006610C3" w:rsidRPr="007E56DA">
        <w:rPr>
          <w:rFonts w:ascii="Times New Roman" w:eastAsia="Arial" w:hAnsi="Times New Roman" w:cs="Times New Roman"/>
          <w:color w:val="auto"/>
          <w:sz w:val="24"/>
          <w:szCs w:val="24"/>
        </w:rPr>
        <w:sym w:font="Symbol" w:char="F05B"/>
      </w:r>
      <w:r w:rsidR="006610C3" w:rsidRPr="007E56DA">
        <w:rPr>
          <w:rFonts w:ascii="Times New Roman" w:eastAsia="Arial" w:hAnsi="Times New Roman" w:cs="Times New Roman"/>
          <w:color w:val="auto"/>
          <w:sz w:val="24"/>
          <w:szCs w:val="24"/>
        </w:rPr>
        <w:t>que habrían podido</w:t>
      </w:r>
      <w:r w:rsidR="006610C3" w:rsidRPr="007E56DA">
        <w:rPr>
          <w:rFonts w:ascii="Times New Roman" w:eastAsia="Arial" w:hAnsi="Times New Roman" w:cs="Times New Roman"/>
          <w:color w:val="auto"/>
          <w:sz w:val="24"/>
          <w:szCs w:val="24"/>
        </w:rPr>
        <w:sym w:font="Symbol" w:char="F05D"/>
      </w:r>
      <w:r w:rsidR="00DB2C40" w:rsidRPr="007E56DA">
        <w:rPr>
          <w:rFonts w:ascii="Times New Roman" w:eastAsia="Arial" w:hAnsi="Times New Roman" w:cs="Times New Roman"/>
          <w:color w:val="auto"/>
          <w:sz w:val="24"/>
          <w:szCs w:val="24"/>
        </w:rPr>
        <w:t xml:space="preserve"> llegar a tener cierta capacidad de influencia en los procesos políticos, com</w:t>
      </w:r>
      <w:r w:rsidRPr="007E56DA">
        <w:rPr>
          <w:rFonts w:ascii="Times New Roman" w:eastAsia="Arial" w:hAnsi="Times New Roman" w:cs="Times New Roman"/>
          <w:color w:val="auto"/>
          <w:sz w:val="24"/>
          <w:szCs w:val="24"/>
        </w:rPr>
        <w:t>o resultado de sus demandas al E</w:t>
      </w:r>
      <w:r w:rsidR="00DB2C40" w:rsidRPr="007E56DA">
        <w:rPr>
          <w:rFonts w:ascii="Times New Roman" w:eastAsia="Arial" w:hAnsi="Times New Roman" w:cs="Times New Roman"/>
          <w:color w:val="auto"/>
          <w:sz w:val="24"/>
          <w:szCs w:val="24"/>
        </w:rPr>
        <w:t>stado más allá de las relaciones de representación (elecciones y partidos políticos)</w:t>
      </w:r>
      <w:r w:rsidR="00F20EB2">
        <w:rPr>
          <w:rFonts w:ascii="Times New Roman" w:eastAsia="Arial" w:hAnsi="Times New Roman" w:cs="Times New Roman"/>
          <w:color w:val="auto"/>
          <w:sz w:val="24"/>
          <w:szCs w:val="24"/>
        </w:rPr>
        <w:t>”.</w:t>
      </w:r>
      <w:r w:rsidR="00DB2C40" w:rsidRPr="007E56DA">
        <w:rPr>
          <w:rFonts w:ascii="Times New Roman" w:eastAsia="Arial" w:hAnsi="Times New Roman" w:cs="Times New Roman"/>
          <w:color w:val="auto"/>
          <w:sz w:val="24"/>
          <w:szCs w:val="24"/>
        </w:rPr>
        <w:t xml:space="preserve"> (Álvarez Ugarte, 2013</w:t>
      </w:r>
      <w:r w:rsidRPr="007E56DA">
        <w:rPr>
          <w:rFonts w:ascii="Times New Roman" w:eastAsia="Arial" w:hAnsi="Times New Roman" w:cs="Times New Roman"/>
          <w:color w:val="auto"/>
          <w:sz w:val="24"/>
          <w:szCs w:val="24"/>
        </w:rPr>
        <w:t xml:space="preserve">, citado en </w:t>
      </w:r>
      <w:r w:rsidRPr="007E56DA">
        <w:rPr>
          <w:rFonts w:ascii="Times New Roman" w:eastAsia="Arial" w:hAnsi="Times New Roman" w:cs="Times New Roman"/>
          <w:color w:val="auto"/>
          <w:sz w:val="24"/>
          <w:szCs w:val="24"/>
        </w:rPr>
        <w:lastRenderedPageBreak/>
        <w:t>Segura y Waisbord, 2016: 2</w:t>
      </w:r>
      <w:r w:rsidR="00DB2C40" w:rsidRPr="007E56DA">
        <w:rPr>
          <w:rFonts w:ascii="Times New Roman" w:eastAsia="Arial" w:hAnsi="Times New Roman" w:cs="Times New Roman"/>
          <w:color w:val="auto"/>
          <w:sz w:val="24"/>
          <w:szCs w:val="24"/>
        </w:rPr>
        <w:t xml:space="preserve">). </w:t>
      </w:r>
      <w:r w:rsidR="00D277C0" w:rsidRPr="007E56DA">
        <w:rPr>
          <w:rFonts w:ascii="Times New Roman" w:eastAsia="Arial" w:hAnsi="Times New Roman" w:cs="Times New Roman"/>
          <w:color w:val="auto"/>
          <w:sz w:val="24"/>
          <w:szCs w:val="24"/>
        </w:rPr>
        <w:t>Nuestra pregunta, entonces, es en qué medida se dieron las condiciones para que estas OSC consiguieran incidir en los debates y políticas.</w:t>
      </w:r>
    </w:p>
    <w:p w:rsidR="00D958CD" w:rsidRPr="007E56DA" w:rsidRDefault="00E93D19" w:rsidP="00D958CD">
      <w:pPr>
        <w:pStyle w:val="Normal1"/>
        <w:spacing w:after="0" w:line="360" w:lineRule="auto"/>
        <w:contextualSpacing/>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A partir de estos conceptos, nuestro trabajo se desarrolla en </w:t>
      </w:r>
      <w:r w:rsidRPr="007E56DA">
        <w:rPr>
          <w:rFonts w:ascii="Times New Roman" w:hAnsi="Times New Roman" w:cs="Times New Roman"/>
          <w:color w:val="auto"/>
          <w:sz w:val="24"/>
          <w:szCs w:val="24"/>
          <w:lang w:eastAsia="en-US"/>
        </w:rPr>
        <w:t>tres niveles de análisis. En el primero, analizamos las estrategias de los agentes; en el segundo, construimos los agentes sociales y, por último, analizamos la relación entre los niveles anteriores, es decir, entre las estrategias de los agentes y sus lugares sociales de producción, los cuales definen para los agentes cierto espacio de posibles</w:t>
      </w:r>
      <w:r w:rsidR="007C6167" w:rsidRPr="007E56DA">
        <w:rPr>
          <w:rStyle w:val="Refdenotaalpie"/>
          <w:rFonts w:ascii="Times New Roman" w:hAnsi="Times New Roman" w:cs="Times New Roman"/>
          <w:color w:val="auto"/>
          <w:sz w:val="24"/>
          <w:szCs w:val="24"/>
          <w:lang w:eastAsia="en-US"/>
        </w:rPr>
        <w:footnoteReference w:id="16"/>
      </w:r>
      <w:r w:rsidR="00D64F16" w:rsidRPr="007E56DA">
        <w:rPr>
          <w:rFonts w:ascii="Times New Roman" w:hAnsi="Times New Roman" w:cs="Times New Roman"/>
          <w:color w:val="auto"/>
          <w:sz w:val="24"/>
          <w:szCs w:val="24"/>
          <w:lang w:eastAsia="en-US"/>
        </w:rPr>
        <w:t>,</w:t>
      </w:r>
      <w:r w:rsidRPr="007E56DA">
        <w:rPr>
          <w:rFonts w:ascii="Times New Roman" w:hAnsi="Times New Roman" w:cs="Times New Roman"/>
          <w:color w:val="auto"/>
          <w:sz w:val="24"/>
          <w:szCs w:val="24"/>
          <w:lang w:eastAsia="en-US"/>
        </w:rPr>
        <w:t xml:space="preserve"> en términos de sistema de relaciones y de condiciones de enunciabilidad</w:t>
      </w:r>
      <w:r w:rsidR="00373087" w:rsidRPr="007E56DA">
        <w:rPr>
          <w:rFonts w:ascii="Times New Roman" w:hAnsi="Times New Roman" w:cs="Times New Roman"/>
          <w:color w:val="auto"/>
          <w:sz w:val="24"/>
          <w:szCs w:val="24"/>
          <w:lang w:eastAsia="en-US"/>
        </w:rPr>
        <w:t xml:space="preserve"> y </w:t>
      </w:r>
      <w:r w:rsidR="00F32EC3" w:rsidRPr="007E56DA">
        <w:rPr>
          <w:rFonts w:ascii="Times New Roman" w:hAnsi="Times New Roman" w:cs="Times New Roman"/>
          <w:color w:val="auto"/>
          <w:sz w:val="24"/>
          <w:szCs w:val="24"/>
          <w:lang w:eastAsia="en-US"/>
        </w:rPr>
        <w:t>aceptabilidad de las prácticas discursivas y no discursivas</w:t>
      </w:r>
      <w:r w:rsidR="00A217B8" w:rsidRPr="007E56DA">
        <w:rPr>
          <w:rFonts w:ascii="Times New Roman" w:hAnsi="Times New Roman" w:cs="Times New Roman"/>
          <w:color w:val="auto"/>
          <w:sz w:val="24"/>
          <w:szCs w:val="24"/>
          <w:lang w:eastAsia="en-US"/>
        </w:rPr>
        <w:t xml:space="preserve"> (Costa y Mozejko, 2009: 27).</w:t>
      </w:r>
    </w:p>
    <w:p w:rsidR="00E93D19" w:rsidRPr="007E56DA" w:rsidRDefault="00E93D19" w:rsidP="00D958CD">
      <w:pPr>
        <w:pStyle w:val="Normal1"/>
        <w:spacing w:after="0" w:line="360" w:lineRule="auto"/>
        <w:contextualSpacing/>
        <w:jc w:val="both"/>
        <w:rPr>
          <w:rFonts w:ascii="Times New Roman" w:hAnsi="Times New Roman" w:cs="Times New Roman"/>
          <w:color w:val="auto"/>
          <w:sz w:val="24"/>
          <w:szCs w:val="24"/>
        </w:rPr>
      </w:pPr>
    </w:p>
    <w:p w:rsidR="002010B0" w:rsidRPr="007E56DA" w:rsidRDefault="002010B0" w:rsidP="00720F81">
      <w:pPr>
        <w:pStyle w:val="Normal1"/>
        <w:numPr>
          <w:ilvl w:val="0"/>
          <w:numId w:val="4"/>
        </w:numPr>
        <w:spacing w:after="0" w:line="360" w:lineRule="auto"/>
        <w:ind w:left="0" w:firstLine="0"/>
        <w:contextualSpacing/>
        <w:jc w:val="both"/>
        <w:rPr>
          <w:rFonts w:ascii="Times New Roman" w:eastAsia="Arial" w:hAnsi="Times New Roman" w:cs="Times New Roman"/>
          <w:b/>
          <w:color w:val="auto"/>
          <w:sz w:val="24"/>
          <w:szCs w:val="24"/>
        </w:rPr>
      </w:pPr>
      <w:r w:rsidRPr="007E56DA">
        <w:rPr>
          <w:rFonts w:ascii="Times New Roman" w:eastAsia="Arial" w:hAnsi="Times New Roman" w:cs="Times New Roman"/>
          <w:b/>
          <w:color w:val="auto"/>
          <w:sz w:val="24"/>
          <w:szCs w:val="24"/>
        </w:rPr>
        <w:t>Desde la marginalidad. El sistema de relaciones como condición de posibilidad</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Aquí buscamos dar cuenta de aquellas relaciones que, desde su conformación, fueron estableciendo los agentes que analizamos, y que tuvieron un lugar clave en el proceso de consolidación de sus competencias, las cuales, luego, pudieron ser puestas en juego en pos de incidir en la definición de las políticas a las cuales apuntaron.</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Justicia Legítima comenzó a conformarse y a cobrar visibilidad pública cuando un grupo de más de 700 jueces, fiscales, defensores públicos, académicos y funcionarios de todo el país</w:t>
      </w:r>
      <w:r w:rsidRPr="007E56DA">
        <w:rPr>
          <w:rFonts w:ascii="Times New Roman" w:eastAsia="Arial" w:hAnsi="Times New Roman" w:cs="Times New Roman"/>
          <w:color w:val="auto"/>
          <w:sz w:val="24"/>
          <w:szCs w:val="24"/>
          <w:vertAlign w:val="superscript"/>
        </w:rPr>
        <w:footnoteReference w:id="17"/>
      </w:r>
      <w:r w:rsidRPr="007E56DA">
        <w:rPr>
          <w:rFonts w:ascii="Times New Roman" w:eastAsia="Arial" w:hAnsi="Times New Roman" w:cs="Times New Roman"/>
          <w:color w:val="auto"/>
          <w:sz w:val="24"/>
          <w:szCs w:val="24"/>
        </w:rPr>
        <w:t xml:space="preserve">, buscaron diferenciarse de las organizaciones que representan a los magistrados: la Comisión Nacional de Protección de la Independencia Judicial, la </w:t>
      </w:r>
      <w:r w:rsidRPr="007E56DA">
        <w:rPr>
          <w:rFonts w:ascii="Times New Roman" w:eastAsia="Arial" w:hAnsi="Times New Roman" w:cs="Times New Roman"/>
          <w:color w:val="auto"/>
          <w:sz w:val="24"/>
          <w:szCs w:val="24"/>
          <w:highlight w:val="white"/>
        </w:rPr>
        <w:t>Junta Federal de Cortes y Superiores Tribunales de Justicia de las Provincias Argentinas y Ciudad Autónoma de Buenos Aires</w:t>
      </w:r>
      <w:r w:rsidRPr="007E56DA">
        <w:rPr>
          <w:rFonts w:ascii="Times New Roman" w:eastAsia="Arial" w:hAnsi="Times New Roman" w:cs="Times New Roman"/>
          <w:color w:val="auto"/>
          <w:sz w:val="24"/>
          <w:szCs w:val="24"/>
        </w:rPr>
        <w:t xml:space="preserve">, la Asociación de Magistrados y Funcionarios de la Justicia Nacional y la Federación Argentina de la Magistratura. Estas asociaciones habían emitido de manera conjunta un documento el día 6 de diciembre de 2012 –día previo a que venciera la cautelar que escudaba a Grupo Clarín SA de la plena vigencia de la nueva ley de medios-, en el cual se pedía al Gobierno de Cristina Fernández que no presione a los jueces. Al día siguiente, la Sala I de la Cámara Civil y Comercial Federal decidió que la cautelar siguiera vigente (Vasallo, 2013).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Muchos de los impulsores de Justicia Legítima integraban las organizaciones mencionadas. Por este motivo, consideramos que el grupo comenzó a articularse desde una posición de poder marginal dentro de las asociaciones que los representaban. Pero si </w:t>
      </w:r>
      <w:r w:rsidRPr="007E56DA">
        <w:rPr>
          <w:rFonts w:ascii="Times New Roman" w:eastAsia="Arial" w:hAnsi="Times New Roman" w:cs="Times New Roman"/>
          <w:color w:val="auto"/>
          <w:sz w:val="24"/>
          <w:szCs w:val="24"/>
        </w:rPr>
        <w:lastRenderedPageBreak/>
        <w:t>bien se trataba de un grupo con escaso poder relativo en ese sistema de relaciones, contaban con mayor poder relativo en la estructura judicial de la que formaban parte como funcionarios judiciales, por tratarse en su mayoría de jueces, fiscales y defensores de instancias superiores</w:t>
      </w:r>
      <w:r w:rsidRPr="007E56DA">
        <w:rPr>
          <w:rFonts w:ascii="Times New Roman" w:eastAsia="Arial" w:hAnsi="Times New Roman" w:cs="Times New Roman"/>
          <w:color w:val="auto"/>
          <w:sz w:val="24"/>
          <w:szCs w:val="24"/>
          <w:vertAlign w:val="superscript"/>
        </w:rPr>
        <w:footnoteReference w:id="18"/>
      </w:r>
      <w:r w:rsidRPr="007E56DA">
        <w:rPr>
          <w:rFonts w:ascii="Times New Roman" w:eastAsia="Arial" w:hAnsi="Times New Roman" w:cs="Times New Roman"/>
          <w:color w:val="auto"/>
          <w:sz w:val="24"/>
          <w:szCs w:val="24"/>
        </w:rPr>
        <w:t xml:space="preserve">. Por otra parte, </w:t>
      </w:r>
      <w:r w:rsidR="007E6D52" w:rsidRPr="007E56DA">
        <w:rPr>
          <w:rFonts w:ascii="Times New Roman" w:eastAsia="Arial" w:hAnsi="Times New Roman" w:cs="Times New Roman"/>
          <w:color w:val="auto"/>
          <w:sz w:val="24"/>
          <w:szCs w:val="24"/>
        </w:rPr>
        <w:t xml:space="preserve">reunió entre sus miembros a un grupo de </w:t>
      </w:r>
      <w:r w:rsidRPr="007E56DA">
        <w:rPr>
          <w:rFonts w:ascii="Times New Roman" w:eastAsia="Arial" w:hAnsi="Times New Roman" w:cs="Times New Roman"/>
          <w:color w:val="auto"/>
          <w:sz w:val="24"/>
          <w:szCs w:val="24"/>
        </w:rPr>
        <w:t>académicos de reconocida trayectoria nacional e internacional</w:t>
      </w:r>
      <w:r w:rsidRPr="007E56DA">
        <w:rPr>
          <w:rFonts w:ascii="Times New Roman" w:eastAsia="Arial" w:hAnsi="Times New Roman" w:cs="Times New Roman"/>
          <w:color w:val="auto"/>
          <w:sz w:val="24"/>
          <w:szCs w:val="24"/>
          <w:vertAlign w:val="superscript"/>
        </w:rPr>
        <w:footnoteReference w:id="19"/>
      </w:r>
      <w:r w:rsidRPr="007E56DA">
        <w:rPr>
          <w:rFonts w:ascii="Times New Roman" w:eastAsia="Arial" w:hAnsi="Times New Roman" w:cs="Times New Roman"/>
          <w:color w:val="auto"/>
          <w:sz w:val="24"/>
          <w:szCs w:val="24"/>
        </w:rPr>
        <w:t>. Inmediatamente, consiguió adhesión y apoyo por parte de jueces, fiscales, defensores públicos, rectores y académicos de universidades nacionales, de organizaciones representantes de un amplio espectro social y ciudadanos en general.</w:t>
      </w:r>
      <w:r w:rsidRPr="007E56DA">
        <w:rPr>
          <w:rFonts w:ascii="Times New Roman" w:eastAsia="Arial" w:hAnsi="Times New Roman" w:cs="Times New Roman"/>
          <w:color w:val="auto"/>
          <w:sz w:val="24"/>
          <w:szCs w:val="24"/>
          <w:vertAlign w:val="superscript"/>
        </w:rPr>
        <w:footnoteReference w:id="20"/>
      </w:r>
    </w:p>
    <w:p w:rsidR="002010B0" w:rsidRPr="007E56DA" w:rsidRDefault="00160324"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R</w:t>
      </w:r>
      <w:r w:rsidR="00BF18A4" w:rsidRPr="007E56DA">
        <w:rPr>
          <w:rFonts w:ascii="Times New Roman" w:eastAsia="Arial" w:hAnsi="Times New Roman" w:cs="Times New Roman"/>
          <w:color w:val="auto"/>
          <w:sz w:val="24"/>
          <w:szCs w:val="24"/>
        </w:rPr>
        <w:t xml:space="preserve">esulta importante destacar también que, </w:t>
      </w:r>
      <w:r w:rsidR="002010B0" w:rsidRPr="007E56DA">
        <w:rPr>
          <w:rFonts w:ascii="Times New Roman" w:eastAsia="Arial" w:hAnsi="Times New Roman" w:cs="Times New Roman"/>
          <w:color w:val="auto"/>
          <w:sz w:val="24"/>
          <w:szCs w:val="24"/>
        </w:rPr>
        <w:t>desde su aparición</w:t>
      </w:r>
      <w:r w:rsidR="00BF18A4" w:rsidRPr="007E56DA">
        <w:rPr>
          <w:rFonts w:ascii="Times New Roman" w:eastAsia="Arial" w:hAnsi="Times New Roman" w:cs="Times New Roman"/>
          <w:color w:val="auto"/>
          <w:sz w:val="24"/>
          <w:szCs w:val="24"/>
        </w:rPr>
        <w:t>, la</w:t>
      </w:r>
      <w:r w:rsidR="002010B0" w:rsidRPr="007E56DA">
        <w:rPr>
          <w:rFonts w:ascii="Times New Roman" w:eastAsia="Arial" w:hAnsi="Times New Roman" w:cs="Times New Roman"/>
          <w:color w:val="auto"/>
          <w:sz w:val="24"/>
          <w:szCs w:val="24"/>
        </w:rPr>
        <w:t xml:space="preserve"> prensa hegemónica tildó a Justicia Legítima de “movimiento K” dentro del Poder Judicial. Y aunque se puede reconocer un proceso de gestación anterior al kirchnerismo y heterogéneo en términos políticos</w:t>
      </w:r>
      <w:r w:rsidR="002010B0" w:rsidRPr="007E56DA">
        <w:rPr>
          <w:rFonts w:ascii="Times New Roman" w:eastAsia="Arial" w:hAnsi="Times New Roman" w:cs="Times New Roman"/>
          <w:color w:val="auto"/>
          <w:sz w:val="24"/>
          <w:szCs w:val="24"/>
          <w:vertAlign w:val="superscript"/>
        </w:rPr>
        <w:footnoteReference w:id="21"/>
      </w:r>
      <w:r w:rsidR="002010B0" w:rsidRPr="007E56DA">
        <w:rPr>
          <w:rFonts w:ascii="Times New Roman" w:eastAsia="Arial" w:hAnsi="Times New Roman" w:cs="Times New Roman"/>
          <w:color w:val="auto"/>
          <w:sz w:val="24"/>
          <w:szCs w:val="24"/>
        </w:rPr>
        <w:t>, cierta sintonía entre Justicia Legítima y los cuestionamientos que desde el gobierno se dirigían al Poder Judicial</w:t>
      </w:r>
      <w:r w:rsidR="00D8738A"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se tradujo, </w:t>
      </w:r>
      <w:r w:rsidR="005D4A5B" w:rsidRPr="007E56DA">
        <w:rPr>
          <w:rFonts w:ascii="Times New Roman" w:eastAsia="Arial" w:hAnsi="Times New Roman" w:cs="Times New Roman"/>
          <w:color w:val="auto"/>
          <w:sz w:val="24"/>
          <w:szCs w:val="24"/>
        </w:rPr>
        <w:t>en cierta medida</w:t>
      </w:r>
      <w:r w:rsidR="002010B0" w:rsidRPr="007E56DA">
        <w:rPr>
          <w:rFonts w:ascii="Times New Roman" w:eastAsia="Arial" w:hAnsi="Times New Roman" w:cs="Times New Roman"/>
          <w:color w:val="auto"/>
          <w:sz w:val="24"/>
          <w:szCs w:val="24"/>
        </w:rPr>
        <w:t xml:space="preserve">, en reconocimiento y apoyo mutuos. </w:t>
      </w:r>
    </w:p>
    <w:p w:rsidR="00BC4BC6" w:rsidRPr="007E56DA" w:rsidRDefault="00BC4BC6" w:rsidP="0065650C">
      <w:pPr>
        <w:pStyle w:val="Normal1"/>
        <w:spacing w:after="0" w:line="360" w:lineRule="auto"/>
        <w:jc w:val="both"/>
        <w:rPr>
          <w:rFonts w:ascii="Times New Roman" w:eastAsia="Arial" w:hAnsi="Times New Roman" w:cs="Times New Roman"/>
          <w:color w:val="auto"/>
          <w:sz w:val="24"/>
          <w:szCs w:val="24"/>
        </w:rPr>
      </w:pPr>
    </w:p>
    <w:p w:rsidR="002010B0"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Por </w:t>
      </w:r>
      <w:r w:rsidR="00BF18A4" w:rsidRPr="007E56DA">
        <w:rPr>
          <w:rFonts w:ascii="Times New Roman" w:eastAsia="Arial" w:hAnsi="Times New Roman" w:cs="Times New Roman"/>
          <w:color w:val="auto"/>
          <w:sz w:val="24"/>
          <w:szCs w:val="24"/>
        </w:rPr>
        <w:t>su</w:t>
      </w:r>
      <w:r w:rsidRPr="007E56DA">
        <w:rPr>
          <w:rFonts w:ascii="Times New Roman" w:eastAsia="Arial" w:hAnsi="Times New Roman" w:cs="Times New Roman"/>
          <w:color w:val="auto"/>
          <w:sz w:val="24"/>
          <w:szCs w:val="24"/>
        </w:rPr>
        <w:t xml:space="preserve"> parte, la Fundación María de los Ángeles (FMA) nació el 19 de octubre del año 2007 con el objetivo de brindar asistencia integral a las víctimas de la trata de personas, recibir denuncias, ofrecer contención y asesoramiento a familiares. Se trató de una iniciativa de Susana Trimarco y como resultado de un largo proceso de búsqueda y </w:t>
      </w:r>
      <w:r w:rsidRPr="007E56DA">
        <w:rPr>
          <w:rFonts w:ascii="Times New Roman" w:eastAsia="Arial" w:hAnsi="Times New Roman" w:cs="Times New Roman"/>
          <w:color w:val="auto"/>
          <w:sz w:val="24"/>
          <w:szCs w:val="24"/>
        </w:rPr>
        <w:lastRenderedPageBreak/>
        <w:t>lucha que habían comenzado en el año 2002 a partir de la desaparición de su hija</w:t>
      </w:r>
      <w:r w:rsidRPr="007E56DA">
        <w:rPr>
          <w:rFonts w:ascii="Times New Roman" w:eastAsia="Arial" w:hAnsi="Times New Roman" w:cs="Times New Roman"/>
          <w:color w:val="auto"/>
          <w:sz w:val="24"/>
          <w:szCs w:val="24"/>
          <w:vertAlign w:val="superscript"/>
        </w:rPr>
        <w:footnoteReference w:id="22"/>
      </w:r>
      <w:r w:rsidRPr="007E56DA">
        <w:rPr>
          <w:rFonts w:ascii="Times New Roman" w:eastAsia="Arial" w:hAnsi="Times New Roman" w:cs="Times New Roman"/>
          <w:color w:val="auto"/>
          <w:sz w:val="24"/>
          <w:szCs w:val="24"/>
        </w:rPr>
        <w:t>. A los pocos meses, Trimarco sostenía que no se trataba de un caso aislado sino de un entramado delictivo que incluía diferentes sectores de poder</w:t>
      </w:r>
      <w:r w:rsidRPr="007E56DA">
        <w:rPr>
          <w:rFonts w:ascii="Times New Roman" w:eastAsia="Arial" w:hAnsi="Times New Roman" w:cs="Times New Roman"/>
          <w:color w:val="auto"/>
          <w:sz w:val="24"/>
          <w:szCs w:val="24"/>
          <w:vertAlign w:val="superscript"/>
        </w:rPr>
        <w:footnoteReference w:id="23"/>
      </w:r>
      <w:r w:rsidRPr="007E56DA">
        <w:rPr>
          <w:rFonts w:ascii="Times New Roman" w:eastAsia="Arial" w:hAnsi="Times New Roman" w:cs="Times New Roman"/>
          <w:color w:val="auto"/>
          <w:sz w:val="24"/>
          <w:szCs w:val="24"/>
        </w:rPr>
        <w:t>. Trimarco, una ama de casa radicada en un barrio popular cerca de la capital de Tucumán, no había desarrollado experiencias previas de participación en organizaciones sociales</w:t>
      </w:r>
      <w:r w:rsidRPr="007E56DA">
        <w:rPr>
          <w:rFonts w:ascii="Times New Roman" w:eastAsia="Arial" w:hAnsi="Times New Roman" w:cs="Times New Roman"/>
          <w:color w:val="auto"/>
          <w:sz w:val="24"/>
          <w:szCs w:val="24"/>
          <w:vertAlign w:val="superscript"/>
        </w:rPr>
        <w:footnoteReference w:id="24"/>
      </w:r>
      <w:r w:rsidRPr="007E56DA">
        <w:rPr>
          <w:rFonts w:ascii="Times New Roman" w:eastAsia="Arial" w:hAnsi="Times New Roman" w:cs="Times New Roman"/>
          <w:color w:val="auto"/>
          <w:sz w:val="24"/>
          <w:szCs w:val="24"/>
        </w:rPr>
        <w:t>. Antes de la creación de la fundación, Trimarc</w:t>
      </w:r>
      <w:r w:rsidR="0074325E" w:rsidRPr="007E56DA">
        <w:rPr>
          <w:rFonts w:ascii="Times New Roman" w:eastAsia="Arial" w:hAnsi="Times New Roman" w:cs="Times New Roman"/>
          <w:color w:val="auto"/>
          <w:sz w:val="24"/>
          <w:szCs w:val="24"/>
        </w:rPr>
        <w:t>o contenía a otras víctimas p</w:t>
      </w:r>
      <w:r w:rsidRPr="007E56DA">
        <w:rPr>
          <w:rFonts w:ascii="Times New Roman" w:eastAsia="Arial" w:hAnsi="Times New Roman" w:cs="Times New Roman"/>
          <w:color w:val="auto"/>
          <w:sz w:val="24"/>
          <w:szCs w:val="24"/>
        </w:rPr>
        <w:t>ersonal</w:t>
      </w:r>
      <w:r w:rsidR="0074325E" w:rsidRPr="007E56DA">
        <w:rPr>
          <w:rFonts w:ascii="Times New Roman" w:eastAsia="Arial" w:hAnsi="Times New Roman" w:cs="Times New Roman"/>
          <w:color w:val="auto"/>
          <w:sz w:val="24"/>
          <w:szCs w:val="24"/>
        </w:rPr>
        <w:t>mente</w:t>
      </w:r>
      <w:r w:rsidRPr="007E56DA">
        <w:rPr>
          <w:rFonts w:ascii="Times New Roman" w:eastAsia="Arial" w:hAnsi="Times New Roman" w:cs="Times New Roman"/>
          <w:color w:val="auto"/>
          <w:sz w:val="24"/>
          <w:szCs w:val="24"/>
        </w:rPr>
        <w:t xml:space="preserve">. Varias </w:t>
      </w:r>
      <w:r w:rsidR="0074325E" w:rsidRPr="007E56DA">
        <w:rPr>
          <w:rFonts w:ascii="Times New Roman" w:eastAsia="Arial" w:hAnsi="Times New Roman" w:cs="Times New Roman"/>
          <w:color w:val="auto"/>
          <w:sz w:val="24"/>
          <w:szCs w:val="24"/>
        </w:rPr>
        <w:t>mujeres rescatadas</w:t>
      </w:r>
      <w:r w:rsidRPr="007E56DA">
        <w:rPr>
          <w:rFonts w:ascii="Times New Roman" w:eastAsia="Arial" w:hAnsi="Times New Roman" w:cs="Times New Roman"/>
          <w:color w:val="auto"/>
          <w:sz w:val="24"/>
          <w:szCs w:val="24"/>
        </w:rPr>
        <w:t xml:space="preserve"> eran alojadas en la casa de la familia Verón: </w:t>
      </w:r>
    </w:p>
    <w:p w:rsidR="009C71A0" w:rsidRPr="007E56DA" w:rsidRDefault="009C71A0" w:rsidP="00482C70">
      <w:pPr>
        <w:pStyle w:val="Normal1"/>
        <w:spacing w:after="0" w:line="360" w:lineRule="auto"/>
        <w:ind w:left="720"/>
        <w:jc w:val="both"/>
        <w:rPr>
          <w:rFonts w:ascii="Times New Roman" w:eastAsia="Arial" w:hAnsi="Times New Roman" w:cs="Times New Roman"/>
          <w:color w:val="auto"/>
          <w:sz w:val="24"/>
          <w:szCs w:val="24"/>
        </w:rPr>
      </w:pPr>
    </w:p>
    <w:p w:rsidR="002010B0" w:rsidRPr="007E56DA" w:rsidRDefault="0074325E" w:rsidP="00482C70">
      <w:pPr>
        <w:pStyle w:val="Normal1"/>
        <w:spacing w:after="0" w:line="360" w:lineRule="auto"/>
        <w:ind w:left="720"/>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 </w:t>
      </w:r>
      <w:r w:rsidR="002010B0" w:rsidRPr="007E56DA">
        <w:rPr>
          <w:rFonts w:ascii="Times New Roman" w:eastAsia="Arial" w:hAnsi="Times New Roman" w:cs="Times New Roman"/>
          <w:color w:val="auto"/>
          <w:sz w:val="24"/>
          <w:szCs w:val="24"/>
        </w:rPr>
        <w:t xml:space="preserve">no se las puede dejar (a las víctimas) solas porque les queman las casas, las amenazan de muerte y vuelven a secuestrarlas (...) por eso quiero tener una Fundación que las ayude y las proteja (Vallejos, 2013: 123). </w:t>
      </w:r>
    </w:p>
    <w:p w:rsidR="0074325E" w:rsidRPr="007E56DA" w:rsidRDefault="0074325E" w:rsidP="00482C70">
      <w:pPr>
        <w:pStyle w:val="Normal1"/>
        <w:spacing w:after="0" w:line="360" w:lineRule="auto"/>
        <w:ind w:left="720"/>
        <w:jc w:val="both"/>
        <w:rPr>
          <w:rFonts w:ascii="Times New Roman" w:hAnsi="Times New Roman" w:cs="Times New Roman"/>
          <w:color w:val="auto"/>
          <w:sz w:val="24"/>
          <w:szCs w:val="24"/>
        </w:rPr>
      </w:pP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La creación de la FMA revistió de institucionalidad a la causa sobre la Trata de personas</w:t>
      </w:r>
      <w:r w:rsidR="0074325E" w:rsidRPr="007E56DA">
        <w:rPr>
          <w:rFonts w:ascii="Times New Roman" w:eastAsia="Arial" w:hAnsi="Times New Roman" w:cs="Times New Roman"/>
          <w:color w:val="auto"/>
          <w:sz w:val="24"/>
          <w:szCs w:val="24"/>
        </w:rPr>
        <w:t xml:space="preserve">. Además, </w:t>
      </w:r>
      <w:r w:rsidRPr="007E56DA">
        <w:rPr>
          <w:rFonts w:ascii="Times New Roman" w:eastAsia="Arial" w:hAnsi="Times New Roman" w:cs="Times New Roman"/>
          <w:color w:val="auto"/>
          <w:sz w:val="24"/>
          <w:szCs w:val="24"/>
        </w:rPr>
        <w:t xml:space="preserve">contar con una figura legal también </w:t>
      </w:r>
      <w:r w:rsidR="0074325E" w:rsidRPr="007E56DA">
        <w:rPr>
          <w:rFonts w:ascii="Times New Roman" w:eastAsia="Arial" w:hAnsi="Times New Roman" w:cs="Times New Roman"/>
          <w:color w:val="auto"/>
          <w:sz w:val="24"/>
          <w:szCs w:val="24"/>
        </w:rPr>
        <w:t xml:space="preserve">facilitó la </w:t>
      </w:r>
      <w:r w:rsidRPr="007E56DA">
        <w:rPr>
          <w:rFonts w:ascii="Times New Roman" w:eastAsia="Arial" w:hAnsi="Times New Roman" w:cs="Times New Roman"/>
          <w:color w:val="auto"/>
          <w:sz w:val="24"/>
          <w:szCs w:val="24"/>
        </w:rPr>
        <w:t>obten</w:t>
      </w:r>
      <w:r w:rsidR="0074325E" w:rsidRPr="007E56DA">
        <w:rPr>
          <w:rFonts w:ascii="Times New Roman" w:eastAsia="Arial" w:hAnsi="Times New Roman" w:cs="Times New Roman"/>
          <w:color w:val="auto"/>
          <w:sz w:val="24"/>
          <w:szCs w:val="24"/>
        </w:rPr>
        <w:t>ción de</w:t>
      </w:r>
      <w:r w:rsidRPr="007E56DA">
        <w:rPr>
          <w:rFonts w:ascii="Times New Roman" w:eastAsia="Arial" w:hAnsi="Times New Roman" w:cs="Times New Roman"/>
          <w:color w:val="auto"/>
          <w:sz w:val="24"/>
          <w:szCs w:val="24"/>
        </w:rPr>
        <w:t xml:space="preserve"> recursos (financieros</w:t>
      </w:r>
      <w:r w:rsidRPr="007E56DA">
        <w:rPr>
          <w:rFonts w:ascii="Times New Roman" w:eastAsia="Arial" w:hAnsi="Times New Roman" w:cs="Times New Roman"/>
          <w:color w:val="auto"/>
          <w:sz w:val="24"/>
          <w:szCs w:val="24"/>
          <w:vertAlign w:val="superscript"/>
        </w:rPr>
        <w:footnoteReference w:id="25"/>
      </w:r>
      <w:r w:rsidRPr="007E56DA">
        <w:rPr>
          <w:rFonts w:ascii="Times New Roman" w:eastAsia="Arial" w:hAnsi="Times New Roman" w:cs="Times New Roman"/>
          <w:color w:val="auto"/>
          <w:sz w:val="24"/>
          <w:szCs w:val="24"/>
        </w:rPr>
        <w:t>, edilicios</w:t>
      </w:r>
      <w:r w:rsidRPr="007E56DA">
        <w:rPr>
          <w:rFonts w:ascii="Times New Roman" w:eastAsia="Arial" w:hAnsi="Times New Roman" w:cs="Times New Roman"/>
          <w:color w:val="auto"/>
          <w:sz w:val="24"/>
          <w:szCs w:val="24"/>
          <w:vertAlign w:val="superscript"/>
        </w:rPr>
        <w:footnoteReference w:id="26"/>
      </w:r>
      <w:r w:rsidRPr="007E56DA">
        <w:rPr>
          <w:rFonts w:ascii="Times New Roman" w:eastAsia="Arial" w:hAnsi="Times New Roman" w:cs="Times New Roman"/>
          <w:color w:val="auto"/>
          <w:sz w:val="24"/>
          <w:szCs w:val="24"/>
        </w:rPr>
        <w:t>, de personal y movilidad, entre otros) provenientes tanto de organismos gubernamentales</w:t>
      </w:r>
      <w:r w:rsidRPr="007E56DA">
        <w:rPr>
          <w:rFonts w:ascii="Times New Roman" w:eastAsia="Arial" w:hAnsi="Times New Roman" w:cs="Times New Roman"/>
          <w:color w:val="auto"/>
          <w:sz w:val="24"/>
          <w:szCs w:val="24"/>
          <w:vertAlign w:val="superscript"/>
        </w:rPr>
        <w:footnoteReference w:id="27"/>
      </w:r>
      <w:r w:rsidRPr="007E56DA">
        <w:rPr>
          <w:rFonts w:ascii="Times New Roman" w:eastAsia="Arial" w:hAnsi="Times New Roman" w:cs="Times New Roman"/>
          <w:color w:val="auto"/>
          <w:sz w:val="24"/>
          <w:szCs w:val="24"/>
        </w:rPr>
        <w:t xml:space="preserve"> como no gubernamentales</w:t>
      </w:r>
      <w:r w:rsidRPr="007E56DA">
        <w:rPr>
          <w:rFonts w:ascii="Times New Roman" w:eastAsia="Arial" w:hAnsi="Times New Roman" w:cs="Times New Roman"/>
          <w:color w:val="auto"/>
          <w:sz w:val="24"/>
          <w:szCs w:val="24"/>
          <w:vertAlign w:val="superscript"/>
        </w:rPr>
        <w:footnoteReference w:id="28"/>
      </w:r>
      <w:r w:rsidRPr="007E56DA">
        <w:rPr>
          <w:rFonts w:ascii="Times New Roman" w:eastAsia="Arial" w:hAnsi="Times New Roman" w:cs="Times New Roman"/>
          <w:color w:val="auto"/>
          <w:sz w:val="24"/>
          <w:szCs w:val="24"/>
        </w:rPr>
        <w:t xml:space="preserve">. </w:t>
      </w:r>
    </w:p>
    <w:p w:rsidR="002010B0" w:rsidRPr="007E56DA" w:rsidRDefault="0074325E"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A</w:t>
      </w:r>
      <w:r w:rsidR="002010B0" w:rsidRPr="007E56DA">
        <w:rPr>
          <w:rFonts w:ascii="Times New Roman" w:eastAsia="Arial" w:hAnsi="Times New Roman" w:cs="Times New Roman"/>
          <w:color w:val="auto"/>
          <w:sz w:val="24"/>
          <w:szCs w:val="24"/>
        </w:rPr>
        <w:t xml:space="preserve">l inicio de </w:t>
      </w:r>
      <w:r w:rsidRPr="007E56DA">
        <w:rPr>
          <w:rFonts w:ascii="Times New Roman" w:eastAsia="Arial" w:hAnsi="Times New Roman" w:cs="Times New Roman"/>
          <w:color w:val="auto"/>
          <w:sz w:val="24"/>
          <w:szCs w:val="24"/>
        </w:rPr>
        <w:t>su</w:t>
      </w:r>
      <w:r w:rsidR="002010B0" w:rsidRPr="007E56DA">
        <w:rPr>
          <w:rFonts w:ascii="Times New Roman" w:eastAsia="Arial" w:hAnsi="Times New Roman" w:cs="Times New Roman"/>
          <w:color w:val="auto"/>
          <w:sz w:val="24"/>
          <w:szCs w:val="24"/>
        </w:rPr>
        <w:t xml:space="preserve"> lucha</w:t>
      </w:r>
      <w:r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los contactos de Trimarco se reducían al comisario Jorge Tobar y a la monja Marta Povalej. Tobar pertenecía a la policía de la provincia de Tucumán y era amigo de la infancia de Daniel Verón</w:t>
      </w:r>
      <w:r w:rsidRPr="007E56DA">
        <w:rPr>
          <w:rFonts w:ascii="Times New Roman" w:eastAsia="Arial" w:hAnsi="Times New Roman" w:cs="Times New Roman"/>
          <w:color w:val="auto"/>
          <w:sz w:val="24"/>
          <w:szCs w:val="24"/>
        </w:rPr>
        <w:t>, padre de Marita.</w:t>
      </w:r>
      <w:r w:rsidR="002010B0" w:rsidRPr="007E56DA">
        <w:rPr>
          <w:rFonts w:ascii="Times New Roman" w:eastAsia="Arial" w:hAnsi="Times New Roman" w:cs="Times New Roman"/>
          <w:color w:val="auto"/>
          <w:sz w:val="24"/>
          <w:szCs w:val="24"/>
        </w:rPr>
        <w:t xml:space="preserve"> Apenas ocurrida la desaparición</w:t>
      </w:r>
      <w:r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lo contacta</w:t>
      </w:r>
      <w:r w:rsidRPr="007E56DA">
        <w:rPr>
          <w:rFonts w:ascii="Times New Roman" w:eastAsia="Arial" w:hAnsi="Times New Roman" w:cs="Times New Roman"/>
          <w:color w:val="auto"/>
          <w:sz w:val="24"/>
          <w:szCs w:val="24"/>
        </w:rPr>
        <w:t>ron</w:t>
      </w:r>
      <w:r w:rsidR="002010B0" w:rsidRPr="007E56DA">
        <w:rPr>
          <w:rFonts w:ascii="Times New Roman" w:eastAsia="Arial" w:hAnsi="Times New Roman" w:cs="Times New Roman"/>
          <w:color w:val="auto"/>
          <w:sz w:val="24"/>
          <w:szCs w:val="24"/>
        </w:rPr>
        <w:t xml:space="preserve"> para</w:t>
      </w:r>
      <w:r w:rsidR="00482C70" w:rsidRPr="007E56DA">
        <w:rPr>
          <w:rFonts w:ascii="Times New Roman" w:eastAsia="Arial" w:hAnsi="Times New Roman" w:cs="Times New Roman"/>
          <w:color w:val="auto"/>
          <w:sz w:val="24"/>
          <w:szCs w:val="24"/>
        </w:rPr>
        <w:t xml:space="preserve"> que ayudara en la búsqueda</w:t>
      </w:r>
      <w:r w:rsidRPr="007E56DA">
        <w:rPr>
          <w:rFonts w:ascii="Times New Roman" w:eastAsia="Arial" w:hAnsi="Times New Roman" w:cs="Times New Roman"/>
          <w:color w:val="auto"/>
          <w:sz w:val="24"/>
          <w:szCs w:val="24"/>
          <w:vertAlign w:val="superscript"/>
        </w:rPr>
        <w:footnoteReference w:id="29"/>
      </w:r>
      <w:r w:rsidR="00954420" w:rsidRPr="007E56DA">
        <w:rPr>
          <w:rFonts w:ascii="Times New Roman" w:eastAsia="Arial" w:hAnsi="Times New Roman" w:cs="Times New Roman"/>
          <w:color w:val="auto"/>
          <w:sz w:val="24"/>
          <w:szCs w:val="24"/>
        </w:rPr>
        <w:t>. Tobar</w:t>
      </w:r>
      <w:r w:rsidR="002010B0" w:rsidRPr="007E56DA">
        <w:rPr>
          <w:rFonts w:ascii="Times New Roman" w:eastAsia="Arial" w:hAnsi="Times New Roman" w:cs="Times New Roman"/>
          <w:color w:val="auto"/>
          <w:sz w:val="24"/>
          <w:szCs w:val="24"/>
        </w:rPr>
        <w:t xml:space="preserve"> tuvo una </w:t>
      </w:r>
      <w:r w:rsidR="002010B0" w:rsidRPr="007E56DA">
        <w:rPr>
          <w:rFonts w:ascii="Times New Roman" w:eastAsia="Arial" w:hAnsi="Times New Roman" w:cs="Times New Roman"/>
          <w:color w:val="auto"/>
          <w:sz w:val="24"/>
          <w:szCs w:val="24"/>
        </w:rPr>
        <w:lastRenderedPageBreak/>
        <w:t>participación activa</w:t>
      </w:r>
      <w:r w:rsidR="002010B0" w:rsidRPr="007E56DA">
        <w:rPr>
          <w:rFonts w:ascii="Times New Roman" w:eastAsia="Arial" w:hAnsi="Times New Roman" w:cs="Times New Roman"/>
          <w:color w:val="auto"/>
          <w:sz w:val="24"/>
          <w:szCs w:val="24"/>
          <w:vertAlign w:val="superscript"/>
        </w:rPr>
        <w:footnoteReference w:id="30"/>
      </w:r>
      <w:r w:rsidR="002010B0" w:rsidRPr="007E56DA">
        <w:rPr>
          <w:rFonts w:ascii="Times New Roman" w:eastAsia="Arial" w:hAnsi="Times New Roman" w:cs="Times New Roman"/>
          <w:color w:val="auto"/>
          <w:sz w:val="24"/>
          <w:szCs w:val="24"/>
        </w:rPr>
        <w:t xml:space="preserve"> y una postura crítica de la institución a la cual pertenecía</w:t>
      </w:r>
      <w:r w:rsidR="002010B0" w:rsidRPr="007E56DA">
        <w:rPr>
          <w:rFonts w:ascii="Times New Roman" w:eastAsia="Arial" w:hAnsi="Times New Roman" w:cs="Times New Roman"/>
          <w:color w:val="auto"/>
          <w:sz w:val="24"/>
          <w:szCs w:val="24"/>
          <w:vertAlign w:val="superscript"/>
        </w:rPr>
        <w:footnoteReference w:id="31"/>
      </w:r>
      <w:r w:rsidR="002010B0" w:rsidRPr="007E56DA">
        <w:rPr>
          <w:rFonts w:ascii="Times New Roman" w:eastAsia="Arial" w:hAnsi="Times New Roman" w:cs="Times New Roman"/>
          <w:color w:val="auto"/>
          <w:sz w:val="24"/>
          <w:szCs w:val="24"/>
        </w:rPr>
        <w:t>, él mismo remarcaba que las mafias del delito de Trata de Personas podían funcionar por la anuencia de poderes intermedios de la fuerza de seguridad, jueces y políticos.</w:t>
      </w:r>
      <w:r w:rsidR="002010B0" w:rsidRPr="007E56DA">
        <w:rPr>
          <w:rFonts w:ascii="Times New Roman" w:eastAsia="Arial" w:hAnsi="Times New Roman" w:cs="Times New Roman"/>
          <w:color w:val="auto"/>
          <w:sz w:val="24"/>
          <w:szCs w:val="24"/>
          <w:vertAlign w:val="superscript"/>
        </w:rPr>
        <w:footnoteReference w:id="32"/>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Otra relación clave que estableció Trimarco fue con Marta Povalej, conocida por sus acciones en relación al caso María Soledad Morales</w:t>
      </w:r>
      <w:r w:rsidRPr="007E56DA">
        <w:rPr>
          <w:rFonts w:ascii="Times New Roman" w:eastAsia="Arial" w:hAnsi="Times New Roman" w:cs="Times New Roman"/>
          <w:color w:val="auto"/>
          <w:sz w:val="24"/>
          <w:szCs w:val="24"/>
          <w:vertAlign w:val="superscript"/>
        </w:rPr>
        <w:footnoteReference w:id="33"/>
      </w:r>
      <w:r w:rsidRPr="007E56DA">
        <w:rPr>
          <w:rFonts w:ascii="Times New Roman" w:eastAsia="Arial" w:hAnsi="Times New Roman" w:cs="Times New Roman"/>
          <w:color w:val="auto"/>
          <w:sz w:val="24"/>
          <w:szCs w:val="24"/>
        </w:rPr>
        <w:t xml:space="preserve">. Povalej había sido directora del </w:t>
      </w:r>
      <w:r w:rsidR="00F35D42" w:rsidRPr="007E56DA">
        <w:rPr>
          <w:rFonts w:ascii="Times New Roman" w:eastAsia="Arial" w:hAnsi="Times New Roman" w:cs="Times New Roman"/>
          <w:color w:val="auto"/>
          <w:sz w:val="24"/>
          <w:szCs w:val="24"/>
        </w:rPr>
        <w:t xml:space="preserve">Colegio Nuestra </w:t>
      </w:r>
      <w:r w:rsidRPr="007E56DA">
        <w:rPr>
          <w:rFonts w:ascii="Times New Roman" w:eastAsia="Arial" w:hAnsi="Times New Roman" w:cs="Times New Roman"/>
          <w:color w:val="auto"/>
          <w:sz w:val="24"/>
          <w:szCs w:val="24"/>
        </w:rPr>
        <w:t>Señora de La Merced en Tucumán y Su</w:t>
      </w:r>
      <w:r w:rsidR="00F35D42" w:rsidRPr="007E56DA">
        <w:rPr>
          <w:rFonts w:ascii="Times New Roman" w:eastAsia="Arial" w:hAnsi="Times New Roman" w:cs="Times New Roman"/>
          <w:color w:val="auto"/>
          <w:sz w:val="24"/>
          <w:szCs w:val="24"/>
        </w:rPr>
        <w:t>sana Trimarco le solicitó ayuda</w:t>
      </w:r>
      <w:r w:rsidRPr="007E56DA">
        <w:rPr>
          <w:rFonts w:ascii="Times New Roman" w:eastAsia="Arial" w:hAnsi="Times New Roman" w:cs="Times New Roman"/>
          <w:color w:val="auto"/>
          <w:sz w:val="24"/>
          <w:szCs w:val="24"/>
        </w:rPr>
        <w:t xml:space="preserve"> para divulgar su causa (Vallejos, 2013: 65). La monja había tenido expe</w:t>
      </w:r>
      <w:r w:rsidR="00751526" w:rsidRPr="007E56DA">
        <w:rPr>
          <w:rFonts w:ascii="Times New Roman" w:eastAsia="Arial" w:hAnsi="Times New Roman" w:cs="Times New Roman"/>
          <w:color w:val="auto"/>
          <w:sz w:val="24"/>
          <w:szCs w:val="24"/>
        </w:rPr>
        <w:t>riencia en el caso catamarqueño</w:t>
      </w:r>
      <w:r w:rsidRPr="007E56DA">
        <w:rPr>
          <w:rFonts w:ascii="Times New Roman" w:eastAsia="Arial" w:hAnsi="Times New Roman" w:cs="Times New Roman"/>
          <w:color w:val="auto"/>
          <w:sz w:val="24"/>
          <w:szCs w:val="24"/>
        </w:rPr>
        <w:t xml:space="preserve"> juntoa Martha Pelloni</w:t>
      </w:r>
      <w:r w:rsidRPr="007E56DA">
        <w:rPr>
          <w:rFonts w:ascii="Times New Roman" w:eastAsia="Arial" w:hAnsi="Times New Roman" w:cs="Times New Roman"/>
          <w:color w:val="auto"/>
          <w:sz w:val="24"/>
          <w:szCs w:val="24"/>
          <w:vertAlign w:val="superscript"/>
        </w:rPr>
        <w:footnoteReference w:id="34"/>
      </w:r>
      <w:r w:rsidRPr="007E56DA">
        <w:rPr>
          <w:rFonts w:ascii="Times New Roman" w:eastAsia="Arial" w:hAnsi="Times New Roman" w:cs="Times New Roman"/>
          <w:color w:val="auto"/>
          <w:sz w:val="24"/>
          <w:szCs w:val="24"/>
        </w:rPr>
        <w:t>, insistió a Trimarco para que buscara colaboración de los medios (Ibidem: 73). Povalej promovió que Trimarco concurriera al Te Deum</w:t>
      </w:r>
      <w:r w:rsidR="00751526" w:rsidRPr="007E56DA">
        <w:rPr>
          <w:rFonts w:ascii="Times New Roman" w:eastAsia="Arial" w:hAnsi="Times New Roman" w:cs="Times New Roman"/>
          <w:color w:val="auto"/>
          <w:sz w:val="24"/>
          <w:szCs w:val="24"/>
        </w:rPr>
        <w:t xml:space="preserve"> de la catedral de Tucumá</w:t>
      </w:r>
      <w:r w:rsidRPr="007E56DA">
        <w:rPr>
          <w:rFonts w:ascii="Times New Roman" w:eastAsia="Arial" w:hAnsi="Times New Roman" w:cs="Times New Roman"/>
          <w:color w:val="auto"/>
          <w:sz w:val="24"/>
          <w:szCs w:val="24"/>
        </w:rPr>
        <w:t>n, en la que participa</w:t>
      </w:r>
      <w:r w:rsidR="00751526" w:rsidRPr="007E56DA">
        <w:rPr>
          <w:rFonts w:ascii="Times New Roman" w:eastAsia="Arial" w:hAnsi="Times New Roman" w:cs="Times New Roman"/>
          <w:color w:val="auto"/>
          <w:sz w:val="24"/>
          <w:szCs w:val="24"/>
        </w:rPr>
        <w:t>ría</w:t>
      </w:r>
      <w:r w:rsidRPr="007E56DA">
        <w:rPr>
          <w:rFonts w:ascii="Times New Roman" w:eastAsia="Arial" w:hAnsi="Times New Roman" w:cs="Times New Roman"/>
          <w:color w:val="auto"/>
          <w:sz w:val="24"/>
          <w:szCs w:val="24"/>
        </w:rPr>
        <w:t xml:space="preserve"> Néstor Kirchner. La idea era que Trimarco pudiera </w:t>
      </w:r>
      <w:r w:rsidR="00751526" w:rsidRPr="007E56DA">
        <w:rPr>
          <w:rFonts w:ascii="Times New Roman" w:eastAsia="Arial" w:hAnsi="Times New Roman" w:cs="Times New Roman"/>
          <w:color w:val="auto"/>
          <w:sz w:val="24"/>
          <w:szCs w:val="24"/>
        </w:rPr>
        <w:t>acceder a</w:t>
      </w:r>
      <w:r w:rsidRPr="007E56DA">
        <w:rPr>
          <w:rFonts w:ascii="Times New Roman" w:eastAsia="Arial" w:hAnsi="Times New Roman" w:cs="Times New Roman"/>
          <w:color w:val="auto"/>
          <w:sz w:val="24"/>
          <w:szCs w:val="24"/>
        </w:rPr>
        <w:t xml:space="preserve">l </w:t>
      </w:r>
      <w:r w:rsidR="00751526" w:rsidRPr="007E56DA">
        <w:rPr>
          <w:rFonts w:ascii="Times New Roman" w:eastAsia="Arial" w:hAnsi="Times New Roman" w:cs="Times New Roman"/>
          <w:color w:val="auto"/>
          <w:sz w:val="24"/>
          <w:szCs w:val="24"/>
        </w:rPr>
        <w:t xml:space="preserve">entonces </w:t>
      </w:r>
      <w:r w:rsidRPr="007E56DA">
        <w:rPr>
          <w:rFonts w:ascii="Times New Roman" w:eastAsia="Arial" w:hAnsi="Times New Roman" w:cs="Times New Roman"/>
          <w:color w:val="auto"/>
          <w:sz w:val="24"/>
          <w:szCs w:val="24"/>
        </w:rPr>
        <w:t>presidente</w:t>
      </w:r>
      <w:r w:rsidR="00751526" w:rsidRPr="007E56DA">
        <w:rPr>
          <w:rFonts w:ascii="Times New Roman" w:eastAsia="Arial" w:hAnsi="Times New Roman" w:cs="Times New Roman"/>
          <w:color w:val="auto"/>
          <w:sz w:val="24"/>
          <w:szCs w:val="24"/>
        </w:rPr>
        <w:t xml:space="preserve"> para e</w:t>
      </w:r>
      <w:r w:rsidRPr="007E56DA">
        <w:rPr>
          <w:rFonts w:ascii="Times New Roman" w:eastAsia="Arial" w:hAnsi="Times New Roman" w:cs="Times New Roman"/>
          <w:color w:val="auto"/>
          <w:sz w:val="24"/>
          <w:szCs w:val="24"/>
        </w:rPr>
        <w:t>nt</w:t>
      </w:r>
      <w:r w:rsidR="00751526" w:rsidRPr="007E56DA">
        <w:rPr>
          <w:rFonts w:ascii="Times New Roman" w:eastAsia="Arial" w:hAnsi="Times New Roman" w:cs="Times New Roman"/>
          <w:color w:val="auto"/>
          <w:sz w:val="24"/>
          <w:szCs w:val="24"/>
        </w:rPr>
        <w:t>r</w:t>
      </w:r>
      <w:r w:rsidRPr="007E56DA">
        <w:rPr>
          <w:rFonts w:ascii="Times New Roman" w:eastAsia="Arial" w:hAnsi="Times New Roman" w:cs="Times New Roman"/>
          <w:color w:val="auto"/>
          <w:sz w:val="24"/>
          <w:szCs w:val="24"/>
        </w:rPr>
        <w:t>egar</w:t>
      </w:r>
      <w:r w:rsidR="00751526" w:rsidRPr="007E56DA">
        <w:rPr>
          <w:rFonts w:ascii="Times New Roman" w:eastAsia="Arial" w:hAnsi="Times New Roman" w:cs="Times New Roman"/>
          <w:color w:val="auto"/>
          <w:sz w:val="24"/>
          <w:szCs w:val="24"/>
        </w:rPr>
        <w:t>le</w:t>
      </w:r>
      <w:r w:rsidRPr="007E56DA">
        <w:rPr>
          <w:rFonts w:ascii="Times New Roman" w:eastAsia="Arial" w:hAnsi="Times New Roman" w:cs="Times New Roman"/>
          <w:color w:val="auto"/>
          <w:sz w:val="24"/>
          <w:szCs w:val="24"/>
        </w:rPr>
        <w:t xml:space="preserve"> una carta narrando el problema. Este fue un hecho significativo para Trimarco y su causa ya que Kirchner </w:t>
      </w:r>
      <w:r w:rsidR="00751526" w:rsidRPr="007E56DA">
        <w:rPr>
          <w:rFonts w:ascii="Times New Roman" w:eastAsia="Arial" w:hAnsi="Times New Roman" w:cs="Times New Roman"/>
          <w:color w:val="auto"/>
          <w:sz w:val="24"/>
          <w:szCs w:val="24"/>
        </w:rPr>
        <w:t xml:space="preserve">no sólo </w:t>
      </w:r>
      <w:r w:rsidRPr="007E56DA">
        <w:rPr>
          <w:rFonts w:ascii="Times New Roman" w:eastAsia="Arial" w:hAnsi="Times New Roman" w:cs="Times New Roman"/>
          <w:color w:val="auto"/>
          <w:sz w:val="24"/>
          <w:szCs w:val="24"/>
        </w:rPr>
        <w:t>atendió</w:t>
      </w:r>
      <w:r w:rsidR="00751526" w:rsidRPr="007E56DA">
        <w:rPr>
          <w:rFonts w:ascii="Times New Roman" w:eastAsia="Arial" w:hAnsi="Times New Roman" w:cs="Times New Roman"/>
          <w:color w:val="auto"/>
          <w:sz w:val="24"/>
          <w:szCs w:val="24"/>
        </w:rPr>
        <w:t xml:space="preserve">, escuchó y recibió la carta de Trimarco, sino que </w:t>
      </w:r>
      <w:r w:rsidRPr="007E56DA">
        <w:rPr>
          <w:rFonts w:ascii="Times New Roman" w:eastAsia="Arial" w:hAnsi="Times New Roman" w:cs="Times New Roman"/>
          <w:color w:val="auto"/>
          <w:sz w:val="24"/>
          <w:szCs w:val="24"/>
        </w:rPr>
        <w:t>posteriormente le otorgó una audiencia. “</w:t>
      </w:r>
      <w:r w:rsidR="00751526" w:rsidRPr="007E56DA">
        <w:rPr>
          <w:rFonts w:ascii="Times New Roman" w:eastAsia="Arial" w:hAnsi="Times New Roman" w:cs="Times New Roman"/>
          <w:color w:val="auto"/>
          <w:sz w:val="24"/>
          <w:szCs w:val="24"/>
        </w:rPr>
        <w:t>T</w:t>
      </w:r>
      <w:r w:rsidRPr="007E56DA">
        <w:rPr>
          <w:rFonts w:ascii="Times New Roman" w:eastAsia="Arial" w:hAnsi="Times New Roman" w:cs="Times New Roman"/>
          <w:color w:val="auto"/>
          <w:sz w:val="24"/>
          <w:szCs w:val="24"/>
        </w:rPr>
        <w:t>odo cambió cuando pude hablar con Néstor”</w:t>
      </w:r>
      <w:r w:rsidR="00751526" w:rsidRPr="007E56DA">
        <w:rPr>
          <w:rFonts w:ascii="Times New Roman" w:eastAsia="Arial" w:hAnsi="Times New Roman" w:cs="Times New Roman"/>
          <w:color w:val="auto"/>
          <w:sz w:val="24"/>
          <w:szCs w:val="24"/>
        </w:rPr>
        <w:t>, expresaba Trimarco en declaraciones posteriores</w:t>
      </w:r>
      <w:r w:rsidRPr="007E56DA">
        <w:rPr>
          <w:rFonts w:ascii="Times New Roman" w:eastAsia="Arial" w:hAnsi="Times New Roman" w:cs="Times New Roman"/>
          <w:color w:val="auto"/>
          <w:sz w:val="24"/>
          <w:szCs w:val="24"/>
          <w:vertAlign w:val="superscript"/>
        </w:rPr>
        <w:footnoteReference w:id="35"/>
      </w:r>
      <w:r w:rsidR="00751526" w:rsidRPr="007E56DA">
        <w:rPr>
          <w:rFonts w:ascii="Times New Roman" w:eastAsia="Arial" w:hAnsi="Times New Roman" w:cs="Times New Roman"/>
          <w:color w:val="auto"/>
          <w:sz w:val="24"/>
          <w:szCs w:val="24"/>
        </w:rPr>
        <w:t>.</w:t>
      </w:r>
    </w:p>
    <w:p w:rsidR="001A0D18" w:rsidRPr="007E56DA" w:rsidRDefault="001A0D18" w:rsidP="00751526">
      <w:pPr>
        <w:pStyle w:val="Normal1"/>
        <w:spacing w:after="0" w:line="360" w:lineRule="auto"/>
        <w:ind w:left="720"/>
        <w:jc w:val="both"/>
        <w:rPr>
          <w:rFonts w:ascii="Times New Roman" w:eastAsia="Arial" w:hAnsi="Times New Roman" w:cs="Times New Roman"/>
          <w:color w:val="auto"/>
          <w:sz w:val="24"/>
          <w:szCs w:val="24"/>
        </w:rPr>
      </w:pPr>
    </w:p>
    <w:p w:rsidR="002010B0" w:rsidRPr="007E56DA" w:rsidRDefault="00482C70" w:rsidP="00751526">
      <w:pPr>
        <w:pStyle w:val="Normal1"/>
        <w:spacing w:after="0" w:line="360" w:lineRule="auto"/>
        <w:ind w:left="720"/>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lastRenderedPageBreak/>
        <w:t>Señor presidente, discúlpeme</w:t>
      </w:r>
      <w:r w:rsidR="002010B0" w:rsidRPr="007E56DA">
        <w:rPr>
          <w:rFonts w:ascii="Times New Roman" w:eastAsia="Arial" w:hAnsi="Times New Roman" w:cs="Times New Roman"/>
          <w:color w:val="auto"/>
          <w:sz w:val="24"/>
          <w:szCs w:val="24"/>
        </w:rPr>
        <w:t>, me tienen secuestrada a mi hija y necesito que me ayude. Kirchner miró a esa</w:t>
      </w:r>
      <w:r w:rsidRPr="007E56DA">
        <w:rPr>
          <w:rFonts w:ascii="Times New Roman" w:eastAsia="Arial" w:hAnsi="Times New Roman" w:cs="Times New Roman"/>
          <w:color w:val="auto"/>
          <w:sz w:val="24"/>
          <w:szCs w:val="24"/>
        </w:rPr>
        <w:t xml:space="preserve"> mujer pequeña y desconocida</w:t>
      </w:r>
      <w:r w:rsidR="00751526" w:rsidRPr="007E56DA">
        <w:rPr>
          <w:rFonts w:ascii="Times New Roman" w:eastAsia="Arial" w:hAnsi="Times New Roman" w:cs="Times New Roman"/>
          <w:color w:val="auto"/>
          <w:sz w:val="24"/>
          <w:szCs w:val="24"/>
        </w:rPr>
        <w:t>.</w:t>
      </w:r>
      <w:r w:rsidRPr="007E56DA">
        <w:rPr>
          <w:rFonts w:ascii="Times New Roman" w:eastAsia="Arial" w:hAnsi="Times New Roman" w:cs="Times New Roman"/>
          <w:color w:val="auto"/>
          <w:sz w:val="24"/>
          <w:szCs w:val="24"/>
        </w:rPr>
        <w:t xml:space="preserve"> -¿Có</w:t>
      </w:r>
      <w:r w:rsidR="002010B0" w:rsidRPr="007E56DA">
        <w:rPr>
          <w:rFonts w:ascii="Times New Roman" w:eastAsia="Arial" w:hAnsi="Times New Roman" w:cs="Times New Roman"/>
          <w:color w:val="auto"/>
          <w:sz w:val="24"/>
          <w:szCs w:val="24"/>
        </w:rPr>
        <w:t>mo que ti</w:t>
      </w:r>
      <w:r w:rsidR="00751526" w:rsidRPr="007E56DA">
        <w:rPr>
          <w:rFonts w:ascii="Times New Roman" w:eastAsia="Arial" w:hAnsi="Times New Roman" w:cs="Times New Roman"/>
          <w:color w:val="auto"/>
          <w:sz w:val="24"/>
          <w:szCs w:val="24"/>
        </w:rPr>
        <w:t>enen secuestrada a su hija?-  Sí</w:t>
      </w:r>
      <w:r w:rsidR="002010B0" w:rsidRPr="007E56DA">
        <w:rPr>
          <w:rFonts w:ascii="Times New Roman" w:eastAsia="Arial" w:hAnsi="Times New Roman" w:cs="Times New Roman"/>
          <w:color w:val="auto"/>
          <w:sz w:val="24"/>
          <w:szCs w:val="24"/>
        </w:rPr>
        <w:t xml:space="preserve">, en esta carta le cuento todo. Está mi dirección, dónde vivo, cómo, todo. Perdónenme, pero necesito que me ayude. Por favor. (Vallejos, 2013: 72)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A partir de sus primeras iniciativas que comenzaron en el 2002, Trimarco logró articularse con otros actores sociales</w:t>
      </w:r>
      <w:r w:rsidRPr="007E56DA">
        <w:rPr>
          <w:rFonts w:ascii="Times New Roman" w:eastAsia="Arial" w:hAnsi="Times New Roman" w:cs="Times New Roman"/>
          <w:color w:val="auto"/>
          <w:sz w:val="24"/>
          <w:szCs w:val="24"/>
          <w:vertAlign w:val="superscript"/>
        </w:rPr>
        <w:footnoteReference w:id="36"/>
      </w:r>
      <w:r w:rsidR="00BC4BC6" w:rsidRPr="007E56DA">
        <w:rPr>
          <w:rFonts w:ascii="Times New Roman" w:eastAsia="Arial" w:hAnsi="Times New Roman" w:cs="Times New Roman"/>
          <w:color w:val="auto"/>
          <w:sz w:val="24"/>
          <w:szCs w:val="24"/>
        </w:rPr>
        <w:t xml:space="preserve">. </w:t>
      </w:r>
      <w:r w:rsidRPr="007E56DA">
        <w:rPr>
          <w:rFonts w:ascii="Times New Roman" w:eastAsia="Arial" w:hAnsi="Times New Roman" w:cs="Times New Roman"/>
          <w:color w:val="auto"/>
          <w:sz w:val="24"/>
          <w:szCs w:val="24"/>
        </w:rPr>
        <w:t xml:space="preserve">Esta situación mejoró su capacidad para </w:t>
      </w:r>
      <w:r w:rsidRPr="007E56DA">
        <w:rPr>
          <w:rFonts w:ascii="Times New Roman" w:eastAsia="Arial" w:hAnsi="Times New Roman" w:cs="Times New Roman"/>
          <w:i/>
          <w:color w:val="auto"/>
          <w:sz w:val="24"/>
          <w:szCs w:val="24"/>
        </w:rPr>
        <w:t xml:space="preserve">hacer </w:t>
      </w:r>
      <w:r w:rsidRPr="007E56DA">
        <w:rPr>
          <w:rFonts w:ascii="Times New Roman" w:eastAsia="Arial" w:hAnsi="Times New Roman" w:cs="Times New Roman"/>
          <w:color w:val="auto"/>
          <w:sz w:val="24"/>
          <w:szCs w:val="24"/>
        </w:rPr>
        <w:t>mientras el caso iba cobrando visibilidad</w:t>
      </w:r>
      <w:r w:rsidR="0066341B" w:rsidRPr="007E56DA">
        <w:rPr>
          <w:rFonts w:ascii="Times New Roman" w:eastAsia="Arial" w:hAnsi="Times New Roman" w:cs="Times New Roman"/>
          <w:color w:val="auto"/>
          <w:sz w:val="24"/>
          <w:szCs w:val="24"/>
        </w:rPr>
        <w:t xml:space="preserve"> pública de manera progresiva. </w:t>
      </w:r>
    </w:p>
    <w:p w:rsidR="002010B0" w:rsidRPr="007E56DA" w:rsidRDefault="002010B0" w:rsidP="001A0D18">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En dicho proceso, otros factores contribuyeron a que comenzara a instalarse la FMA como referente de la lucha contra la trata, como por ejemplo, los distintos premios y menciones nacionales e internacionales que recibió por su labor. </w:t>
      </w:r>
      <w:r w:rsidR="001A0D18" w:rsidRPr="007E56DA">
        <w:rPr>
          <w:rFonts w:ascii="Times New Roman" w:eastAsia="Arial" w:hAnsi="Times New Roman" w:cs="Times New Roman"/>
          <w:color w:val="auto"/>
          <w:sz w:val="24"/>
          <w:szCs w:val="24"/>
        </w:rPr>
        <w:t>Del 2004 al 2008 (año de sanción de la Ley de Tratas), recibió entre menciones, distinciones y premios, diecinueve reconocimientos a nivel nacional e internacional</w:t>
      </w:r>
      <w:r w:rsidR="001A0D18" w:rsidRPr="007E56DA">
        <w:rPr>
          <w:rFonts w:ascii="Times New Roman" w:eastAsia="Arial" w:hAnsi="Times New Roman" w:cs="Times New Roman"/>
          <w:color w:val="auto"/>
          <w:sz w:val="24"/>
          <w:szCs w:val="24"/>
          <w:vertAlign w:val="superscript"/>
        </w:rPr>
        <w:footnoteReference w:id="37"/>
      </w:r>
      <w:r w:rsidRPr="007E56DA">
        <w:rPr>
          <w:rFonts w:ascii="Times New Roman" w:eastAsia="Arial" w:hAnsi="Times New Roman" w:cs="Times New Roman"/>
          <w:color w:val="auto"/>
          <w:sz w:val="24"/>
          <w:szCs w:val="24"/>
        </w:rPr>
        <w:t xml:space="preserve">. Otros reconocimientos fueron los títulos Doctor </w:t>
      </w:r>
      <w:r w:rsidRPr="007E56DA">
        <w:rPr>
          <w:rFonts w:ascii="Times New Roman" w:eastAsia="Arial" w:hAnsi="Times New Roman" w:cs="Times New Roman"/>
          <w:i/>
          <w:color w:val="auto"/>
          <w:sz w:val="24"/>
          <w:szCs w:val="24"/>
        </w:rPr>
        <w:t>Honoris Causa</w:t>
      </w:r>
      <w:r w:rsidRPr="007E56DA">
        <w:rPr>
          <w:rFonts w:ascii="Times New Roman" w:eastAsia="Arial" w:hAnsi="Times New Roman" w:cs="Times New Roman"/>
          <w:color w:val="auto"/>
          <w:sz w:val="24"/>
          <w:szCs w:val="24"/>
        </w:rPr>
        <w:t xml:space="preserve"> que var</w:t>
      </w:r>
      <w:r w:rsidR="00BC4BC6" w:rsidRPr="007E56DA">
        <w:rPr>
          <w:rFonts w:ascii="Times New Roman" w:eastAsia="Arial" w:hAnsi="Times New Roman" w:cs="Times New Roman"/>
          <w:color w:val="auto"/>
          <w:sz w:val="24"/>
          <w:szCs w:val="24"/>
        </w:rPr>
        <w:t xml:space="preserve">ias Universidades le otorgaron </w:t>
      </w:r>
      <w:r w:rsidRPr="007E56DA">
        <w:rPr>
          <w:rFonts w:ascii="Times New Roman" w:eastAsia="Arial" w:hAnsi="Times New Roman" w:cs="Times New Roman"/>
          <w:color w:val="auto"/>
          <w:sz w:val="24"/>
          <w:szCs w:val="24"/>
        </w:rPr>
        <w:t>Trimar</w:t>
      </w:r>
      <w:r w:rsidR="00750FE2" w:rsidRPr="007E56DA">
        <w:rPr>
          <w:rFonts w:ascii="Times New Roman" w:eastAsia="Arial" w:hAnsi="Times New Roman" w:cs="Times New Roman"/>
          <w:color w:val="auto"/>
          <w:sz w:val="24"/>
          <w:szCs w:val="24"/>
        </w:rPr>
        <w:t>co por su lucha contra la Trata</w:t>
      </w:r>
      <w:r w:rsidRPr="007E56DA">
        <w:rPr>
          <w:rFonts w:ascii="Times New Roman" w:eastAsia="Arial" w:hAnsi="Times New Roman" w:cs="Times New Roman"/>
          <w:color w:val="auto"/>
          <w:sz w:val="24"/>
          <w:szCs w:val="24"/>
          <w:vertAlign w:val="superscript"/>
        </w:rPr>
        <w:footnoteReference w:id="38"/>
      </w:r>
      <w:r w:rsidR="00761D8D" w:rsidRPr="007E56DA">
        <w:rPr>
          <w:rFonts w:ascii="Times New Roman" w:eastAsia="Arial" w:hAnsi="Times New Roman" w:cs="Times New Roman"/>
          <w:color w:val="auto"/>
          <w:sz w:val="24"/>
          <w:szCs w:val="24"/>
        </w:rPr>
        <w:t>.</w:t>
      </w:r>
      <w:r w:rsidRPr="007E56DA">
        <w:rPr>
          <w:rFonts w:ascii="Times New Roman" w:eastAsia="Arial" w:hAnsi="Times New Roman" w:cs="Times New Roman"/>
          <w:color w:val="auto"/>
          <w:sz w:val="24"/>
          <w:szCs w:val="24"/>
        </w:rPr>
        <w:t xml:space="preserve"> También trabajó en red con otras </w:t>
      </w:r>
      <w:r w:rsidR="00BC4BC6" w:rsidRPr="007E56DA">
        <w:rPr>
          <w:rFonts w:ascii="Times New Roman" w:eastAsia="Arial" w:hAnsi="Times New Roman" w:cs="Times New Roman"/>
          <w:color w:val="auto"/>
          <w:sz w:val="24"/>
          <w:szCs w:val="24"/>
        </w:rPr>
        <w:t>o</w:t>
      </w:r>
      <w:r w:rsidRPr="007E56DA">
        <w:rPr>
          <w:rFonts w:ascii="Times New Roman" w:eastAsia="Arial" w:hAnsi="Times New Roman" w:cs="Times New Roman"/>
          <w:color w:val="auto"/>
          <w:sz w:val="24"/>
          <w:szCs w:val="24"/>
        </w:rPr>
        <w:t>rganizaciones de la sociedad civil</w:t>
      </w:r>
      <w:r w:rsidRPr="007E56DA">
        <w:rPr>
          <w:rFonts w:ascii="Times New Roman" w:eastAsia="Arial" w:hAnsi="Times New Roman" w:cs="Times New Roman"/>
          <w:color w:val="auto"/>
          <w:sz w:val="24"/>
          <w:szCs w:val="24"/>
          <w:vertAlign w:val="superscript"/>
        </w:rPr>
        <w:footnoteReference w:id="39"/>
      </w:r>
      <w:r w:rsidRPr="007E56DA">
        <w:rPr>
          <w:rFonts w:ascii="Times New Roman" w:eastAsia="Arial" w:hAnsi="Times New Roman" w:cs="Times New Roman"/>
          <w:color w:val="auto"/>
          <w:sz w:val="24"/>
          <w:szCs w:val="24"/>
        </w:rPr>
        <w:t xml:space="preserve"> organismos gubernamentales</w:t>
      </w:r>
      <w:r w:rsidRPr="007E56DA">
        <w:rPr>
          <w:rFonts w:ascii="Times New Roman" w:eastAsia="Arial" w:hAnsi="Times New Roman" w:cs="Times New Roman"/>
          <w:color w:val="auto"/>
          <w:sz w:val="24"/>
          <w:szCs w:val="24"/>
          <w:vertAlign w:val="superscript"/>
        </w:rPr>
        <w:footnoteReference w:id="40"/>
      </w:r>
      <w:r w:rsidRPr="007E56DA">
        <w:rPr>
          <w:rFonts w:ascii="Times New Roman" w:eastAsia="Arial" w:hAnsi="Times New Roman" w:cs="Times New Roman"/>
          <w:color w:val="auto"/>
          <w:sz w:val="24"/>
          <w:szCs w:val="24"/>
        </w:rPr>
        <w:t xml:space="preserve"> e internacionales</w:t>
      </w:r>
      <w:r w:rsidRPr="007E56DA">
        <w:rPr>
          <w:rFonts w:ascii="Times New Roman" w:eastAsia="Arial" w:hAnsi="Times New Roman" w:cs="Times New Roman"/>
          <w:color w:val="auto"/>
          <w:sz w:val="24"/>
          <w:szCs w:val="24"/>
          <w:vertAlign w:val="superscript"/>
        </w:rPr>
        <w:footnoteReference w:id="41"/>
      </w:r>
      <w:r w:rsidRPr="007E56DA">
        <w:rPr>
          <w:rFonts w:ascii="Times New Roman" w:eastAsia="Arial" w:hAnsi="Times New Roman" w:cs="Times New Roman"/>
          <w:color w:val="auto"/>
          <w:sz w:val="24"/>
          <w:szCs w:val="24"/>
        </w:rPr>
        <w:t xml:space="preserve">. </w:t>
      </w:r>
    </w:p>
    <w:p w:rsidR="002010B0" w:rsidRPr="007E56DA" w:rsidRDefault="00761D8D"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A su vez, </w:t>
      </w:r>
      <w:r w:rsidR="002010B0" w:rsidRPr="007E56DA">
        <w:rPr>
          <w:rFonts w:ascii="Times New Roman" w:eastAsia="Arial" w:hAnsi="Times New Roman" w:cs="Times New Roman"/>
          <w:color w:val="auto"/>
          <w:sz w:val="24"/>
          <w:szCs w:val="24"/>
        </w:rPr>
        <w:t>el contac</w:t>
      </w:r>
      <w:r w:rsidR="00751526" w:rsidRPr="007E56DA">
        <w:rPr>
          <w:rFonts w:ascii="Times New Roman" w:eastAsia="Arial" w:hAnsi="Times New Roman" w:cs="Times New Roman"/>
          <w:color w:val="auto"/>
          <w:sz w:val="24"/>
          <w:szCs w:val="24"/>
        </w:rPr>
        <w:t xml:space="preserve">to con la prensa </w:t>
      </w:r>
      <w:r w:rsidR="002010B0" w:rsidRPr="007E56DA">
        <w:rPr>
          <w:rFonts w:ascii="Times New Roman" w:eastAsia="Arial" w:hAnsi="Times New Roman" w:cs="Times New Roman"/>
          <w:color w:val="auto"/>
          <w:sz w:val="24"/>
          <w:szCs w:val="24"/>
        </w:rPr>
        <w:t xml:space="preserve">de forma sistemática </w:t>
      </w:r>
      <w:r w:rsidR="00751526" w:rsidRPr="007E56DA">
        <w:rPr>
          <w:rFonts w:ascii="Times New Roman" w:eastAsia="Arial" w:hAnsi="Times New Roman" w:cs="Times New Roman"/>
          <w:color w:val="auto"/>
          <w:sz w:val="24"/>
          <w:szCs w:val="24"/>
        </w:rPr>
        <w:t>le permitió incrementar</w:t>
      </w:r>
      <w:r w:rsidR="002010B0" w:rsidRPr="007E56DA">
        <w:rPr>
          <w:rFonts w:ascii="Times New Roman" w:eastAsia="Arial" w:hAnsi="Times New Roman" w:cs="Times New Roman"/>
          <w:color w:val="auto"/>
          <w:sz w:val="24"/>
          <w:szCs w:val="24"/>
        </w:rPr>
        <w:t xml:space="preserve"> su </w:t>
      </w:r>
      <w:r w:rsidR="00751526" w:rsidRPr="007E56DA">
        <w:rPr>
          <w:rFonts w:ascii="Times New Roman" w:eastAsia="Arial" w:hAnsi="Times New Roman" w:cs="Times New Roman"/>
          <w:color w:val="auto"/>
          <w:sz w:val="24"/>
          <w:szCs w:val="24"/>
        </w:rPr>
        <w:t xml:space="preserve">reconocimiento público y su </w:t>
      </w:r>
      <w:r w:rsidR="002010B0" w:rsidRPr="007E56DA">
        <w:rPr>
          <w:rFonts w:ascii="Times New Roman" w:eastAsia="Arial" w:hAnsi="Times New Roman" w:cs="Times New Roman"/>
          <w:color w:val="auto"/>
          <w:sz w:val="24"/>
          <w:szCs w:val="24"/>
        </w:rPr>
        <w:t xml:space="preserve">capacidad diferenciada </w:t>
      </w:r>
      <w:r w:rsidR="00751526" w:rsidRPr="007E56DA">
        <w:rPr>
          <w:rFonts w:ascii="Times New Roman" w:eastAsia="Arial" w:hAnsi="Times New Roman" w:cs="Times New Roman"/>
          <w:color w:val="auto"/>
          <w:sz w:val="24"/>
          <w:szCs w:val="24"/>
        </w:rPr>
        <w:t xml:space="preserve">de </w:t>
      </w:r>
      <w:r w:rsidR="002010B0" w:rsidRPr="007E56DA">
        <w:rPr>
          <w:rFonts w:ascii="Times New Roman" w:eastAsia="Arial" w:hAnsi="Times New Roman" w:cs="Times New Roman"/>
          <w:i/>
          <w:color w:val="auto"/>
          <w:sz w:val="24"/>
          <w:szCs w:val="24"/>
        </w:rPr>
        <w:t>hacer</w:t>
      </w:r>
      <w:r w:rsidR="002010B0" w:rsidRPr="007E56DA">
        <w:rPr>
          <w:rFonts w:ascii="Times New Roman" w:eastAsia="Arial" w:hAnsi="Times New Roman" w:cs="Times New Roman"/>
          <w:color w:val="auto"/>
          <w:sz w:val="24"/>
          <w:szCs w:val="24"/>
        </w:rPr>
        <w:t xml:space="preserve">. Dos entrevistas emitidas por medios centrales fueron clave para visibilizar el tema, una en el programa </w:t>
      </w:r>
      <w:r w:rsidR="002010B0" w:rsidRPr="007E56DA">
        <w:rPr>
          <w:rFonts w:ascii="Times New Roman" w:eastAsia="Arial" w:hAnsi="Times New Roman" w:cs="Times New Roman"/>
          <w:i/>
          <w:color w:val="auto"/>
          <w:sz w:val="24"/>
          <w:szCs w:val="24"/>
        </w:rPr>
        <w:t>Telenoche Investiga</w:t>
      </w:r>
      <w:r w:rsidR="002010B0" w:rsidRPr="007E56DA">
        <w:rPr>
          <w:rFonts w:ascii="Times New Roman" w:eastAsia="Arial" w:hAnsi="Times New Roman" w:cs="Times New Roman"/>
          <w:color w:val="auto"/>
          <w:sz w:val="24"/>
          <w:szCs w:val="24"/>
        </w:rPr>
        <w:t xml:space="preserve"> conducido por María Laura Santillán</w:t>
      </w:r>
      <w:r w:rsidR="002010B0" w:rsidRPr="007E56DA">
        <w:rPr>
          <w:rFonts w:ascii="Times New Roman" w:eastAsia="Arial" w:hAnsi="Times New Roman" w:cs="Times New Roman"/>
          <w:color w:val="auto"/>
          <w:sz w:val="24"/>
          <w:szCs w:val="24"/>
          <w:vertAlign w:val="superscript"/>
        </w:rPr>
        <w:footnoteReference w:id="42"/>
      </w:r>
      <w:r w:rsidR="002010B0" w:rsidRPr="007E56DA">
        <w:rPr>
          <w:rFonts w:ascii="Times New Roman" w:eastAsia="Arial" w:hAnsi="Times New Roman" w:cs="Times New Roman"/>
          <w:color w:val="auto"/>
          <w:sz w:val="24"/>
          <w:szCs w:val="24"/>
        </w:rPr>
        <w:t xml:space="preserve"> y otra</w:t>
      </w:r>
      <w:r w:rsidRPr="007E56DA">
        <w:rPr>
          <w:rFonts w:ascii="Times New Roman" w:eastAsia="Arial" w:hAnsi="Times New Roman" w:cs="Times New Roman"/>
          <w:color w:val="auto"/>
          <w:sz w:val="24"/>
          <w:szCs w:val="24"/>
        </w:rPr>
        <w:t xml:space="preserve">,realizada por el conductor </w:t>
      </w:r>
      <w:r w:rsidR="002010B0" w:rsidRPr="007E56DA">
        <w:rPr>
          <w:rFonts w:ascii="Times New Roman" w:eastAsia="Arial" w:hAnsi="Times New Roman" w:cs="Times New Roman"/>
          <w:color w:val="auto"/>
          <w:sz w:val="24"/>
          <w:szCs w:val="24"/>
        </w:rPr>
        <w:t>Guillermo Andino</w:t>
      </w:r>
      <w:r w:rsidR="00784334" w:rsidRPr="007E56DA">
        <w:rPr>
          <w:rFonts w:ascii="Times New Roman" w:eastAsia="Arial" w:hAnsi="Times New Roman" w:cs="Times New Roman"/>
          <w:color w:val="auto"/>
          <w:sz w:val="24"/>
          <w:szCs w:val="24"/>
        </w:rPr>
        <w:t>, entre otras instancias</w:t>
      </w:r>
      <w:r w:rsidR="004C603B" w:rsidRPr="007E56DA">
        <w:rPr>
          <w:rFonts w:ascii="Times New Roman" w:eastAsia="Arial" w:hAnsi="Times New Roman" w:cs="Times New Roman"/>
          <w:color w:val="auto"/>
          <w:sz w:val="24"/>
          <w:szCs w:val="24"/>
        </w:rPr>
        <w:t xml:space="preserve"> en las que se vinculó con la prensa</w:t>
      </w:r>
      <w:r w:rsidR="00784334" w:rsidRPr="007E56DA">
        <w:rPr>
          <w:rStyle w:val="Refdenotaalpie"/>
          <w:rFonts w:ascii="Times New Roman" w:eastAsia="Arial" w:hAnsi="Times New Roman" w:cs="Times New Roman"/>
          <w:color w:val="auto"/>
          <w:sz w:val="24"/>
          <w:szCs w:val="24"/>
        </w:rPr>
        <w:footnoteReference w:id="43"/>
      </w:r>
      <w:r w:rsidR="00784334"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La misma Trimarco reconoce </w:t>
      </w:r>
      <w:r w:rsidRPr="007E56DA">
        <w:rPr>
          <w:rFonts w:ascii="Times New Roman" w:eastAsia="Arial" w:hAnsi="Times New Roman" w:cs="Times New Roman"/>
          <w:color w:val="auto"/>
          <w:sz w:val="24"/>
          <w:szCs w:val="24"/>
        </w:rPr>
        <w:t>en estas apariciones televisivas el</w:t>
      </w:r>
      <w:r w:rsidR="002010B0" w:rsidRPr="007E56DA">
        <w:rPr>
          <w:rFonts w:ascii="Times New Roman" w:eastAsia="Arial" w:hAnsi="Times New Roman" w:cs="Times New Roman"/>
          <w:color w:val="auto"/>
          <w:sz w:val="24"/>
          <w:szCs w:val="24"/>
        </w:rPr>
        <w:t xml:space="preserve"> puntapié inicial para que su </w:t>
      </w:r>
      <w:r w:rsidR="002010B0" w:rsidRPr="007E56DA">
        <w:rPr>
          <w:rFonts w:ascii="Times New Roman" w:eastAsia="Arial" w:hAnsi="Times New Roman" w:cs="Times New Roman"/>
          <w:color w:val="auto"/>
          <w:sz w:val="24"/>
          <w:szCs w:val="24"/>
        </w:rPr>
        <w:lastRenderedPageBreak/>
        <w:t>tema repercutiera en Buenos Aires (Vallejos, 2013</w:t>
      </w:r>
      <w:r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76) y poder entablar relaciones con la prensa de </w:t>
      </w:r>
      <w:r w:rsidRPr="007E56DA">
        <w:rPr>
          <w:rFonts w:ascii="Times New Roman" w:eastAsia="Arial" w:hAnsi="Times New Roman" w:cs="Times New Roman"/>
          <w:color w:val="auto"/>
          <w:sz w:val="24"/>
          <w:szCs w:val="24"/>
        </w:rPr>
        <w:t>C</w:t>
      </w:r>
      <w:r w:rsidR="002010B0" w:rsidRPr="007E56DA">
        <w:rPr>
          <w:rFonts w:ascii="Times New Roman" w:eastAsia="Arial" w:hAnsi="Times New Roman" w:cs="Times New Roman"/>
          <w:color w:val="auto"/>
          <w:sz w:val="24"/>
          <w:szCs w:val="24"/>
        </w:rPr>
        <w:t xml:space="preserve">apital </w:t>
      </w:r>
      <w:r w:rsidRPr="007E56DA">
        <w:rPr>
          <w:rFonts w:ascii="Times New Roman" w:eastAsia="Arial" w:hAnsi="Times New Roman" w:cs="Times New Roman"/>
          <w:color w:val="auto"/>
          <w:sz w:val="24"/>
          <w:szCs w:val="24"/>
        </w:rPr>
        <w:t>F</w:t>
      </w:r>
      <w:r w:rsidR="002010B0" w:rsidRPr="007E56DA">
        <w:rPr>
          <w:rFonts w:ascii="Times New Roman" w:eastAsia="Arial" w:hAnsi="Times New Roman" w:cs="Times New Roman"/>
          <w:color w:val="auto"/>
          <w:sz w:val="24"/>
          <w:szCs w:val="24"/>
        </w:rPr>
        <w:t xml:space="preserve">ederal.   </w:t>
      </w:r>
    </w:p>
    <w:p w:rsidR="002010B0" w:rsidRPr="007E56DA" w:rsidRDefault="00761D8D" w:rsidP="00F81292">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Fue</w:t>
      </w:r>
      <w:r w:rsidR="002010B0" w:rsidRPr="007E56DA">
        <w:rPr>
          <w:rFonts w:ascii="Times New Roman" w:eastAsia="Arial" w:hAnsi="Times New Roman" w:cs="Times New Roman"/>
          <w:color w:val="auto"/>
          <w:sz w:val="24"/>
          <w:szCs w:val="24"/>
        </w:rPr>
        <w:t xml:space="preserve"> recién en el año 2007 y luego </w:t>
      </w:r>
      <w:r w:rsidRPr="007E56DA">
        <w:rPr>
          <w:rFonts w:ascii="Times New Roman" w:eastAsia="Arial" w:hAnsi="Times New Roman" w:cs="Times New Roman"/>
          <w:color w:val="auto"/>
          <w:sz w:val="24"/>
          <w:szCs w:val="24"/>
        </w:rPr>
        <w:t xml:space="preserve">de </w:t>
      </w:r>
      <w:r w:rsidR="002010B0" w:rsidRPr="007E56DA">
        <w:rPr>
          <w:rFonts w:ascii="Times New Roman" w:eastAsia="Arial" w:hAnsi="Times New Roman" w:cs="Times New Roman"/>
          <w:color w:val="auto"/>
          <w:sz w:val="24"/>
          <w:szCs w:val="24"/>
        </w:rPr>
        <w:t xml:space="preserve">que Trimarco recibiera el premio </w:t>
      </w:r>
      <w:r w:rsidR="002010B0" w:rsidRPr="007E56DA">
        <w:rPr>
          <w:rFonts w:ascii="Times New Roman" w:eastAsia="Arial" w:hAnsi="Times New Roman" w:cs="Times New Roman"/>
          <w:i/>
          <w:color w:val="auto"/>
          <w:sz w:val="24"/>
          <w:szCs w:val="24"/>
        </w:rPr>
        <w:t>Madre Coraje</w:t>
      </w:r>
      <w:r w:rsidRPr="007E56DA">
        <w:rPr>
          <w:rFonts w:ascii="Times New Roman" w:eastAsia="Arial" w:hAnsi="Times New Roman" w:cs="Times New Roman"/>
          <w:i/>
          <w:color w:val="auto"/>
          <w:sz w:val="24"/>
          <w:szCs w:val="24"/>
        </w:rPr>
        <w:t xml:space="preserve">, </w:t>
      </w:r>
      <w:r w:rsidR="002010B0" w:rsidRPr="007E56DA">
        <w:rPr>
          <w:rFonts w:ascii="Times New Roman" w:eastAsia="Arial" w:hAnsi="Times New Roman" w:cs="Times New Roman"/>
          <w:color w:val="auto"/>
          <w:sz w:val="24"/>
          <w:szCs w:val="24"/>
        </w:rPr>
        <w:t xml:space="preserve">que </w:t>
      </w:r>
      <w:r w:rsidRPr="007E56DA">
        <w:rPr>
          <w:rFonts w:ascii="Times New Roman" w:eastAsia="Arial" w:hAnsi="Times New Roman" w:cs="Times New Roman"/>
          <w:color w:val="auto"/>
          <w:sz w:val="24"/>
          <w:szCs w:val="24"/>
        </w:rPr>
        <w:t>en l</w:t>
      </w:r>
      <w:r w:rsidR="002010B0" w:rsidRPr="007E56DA">
        <w:rPr>
          <w:rFonts w:ascii="Times New Roman" w:eastAsia="Arial" w:hAnsi="Times New Roman" w:cs="Times New Roman"/>
          <w:color w:val="auto"/>
          <w:sz w:val="24"/>
          <w:szCs w:val="24"/>
        </w:rPr>
        <w:t>a agenda mediática com</w:t>
      </w:r>
      <w:r w:rsidRPr="007E56DA">
        <w:rPr>
          <w:rFonts w:ascii="Times New Roman" w:eastAsia="Arial" w:hAnsi="Times New Roman" w:cs="Times New Roman"/>
          <w:color w:val="auto"/>
          <w:sz w:val="24"/>
          <w:szCs w:val="24"/>
        </w:rPr>
        <w:t xml:space="preserve">enzó ocupar un lugar </w:t>
      </w:r>
      <w:r w:rsidR="002010B0" w:rsidRPr="007E56DA">
        <w:rPr>
          <w:rFonts w:ascii="Times New Roman" w:eastAsia="Arial" w:hAnsi="Times New Roman" w:cs="Times New Roman"/>
          <w:color w:val="auto"/>
          <w:sz w:val="24"/>
          <w:szCs w:val="24"/>
        </w:rPr>
        <w:t>la causa de Marita Verón. El embajador de Estados Unidos, J. Wayne, durante la inauguración de la FMA, resaltó que la historia de Trimarco hab</w:t>
      </w:r>
      <w:r w:rsidRPr="007E56DA">
        <w:rPr>
          <w:rFonts w:ascii="Times New Roman" w:eastAsia="Arial" w:hAnsi="Times New Roman" w:cs="Times New Roman"/>
          <w:color w:val="auto"/>
          <w:sz w:val="24"/>
          <w:szCs w:val="24"/>
        </w:rPr>
        <w:t>ía colocado la lucha contra la t</w:t>
      </w:r>
      <w:r w:rsidR="002010B0" w:rsidRPr="007E56DA">
        <w:rPr>
          <w:rFonts w:ascii="Times New Roman" w:eastAsia="Arial" w:hAnsi="Times New Roman" w:cs="Times New Roman"/>
          <w:color w:val="auto"/>
          <w:sz w:val="24"/>
          <w:szCs w:val="24"/>
        </w:rPr>
        <w:t>rata de personas en</w:t>
      </w:r>
      <w:r w:rsidRPr="007E56DA">
        <w:rPr>
          <w:rFonts w:ascii="Times New Roman" w:eastAsia="Arial" w:hAnsi="Times New Roman" w:cs="Times New Roman"/>
          <w:color w:val="auto"/>
          <w:sz w:val="24"/>
          <w:szCs w:val="24"/>
        </w:rPr>
        <w:t xml:space="preserve"> la agenda pública, </w:t>
      </w:r>
      <w:r w:rsidR="002010B0" w:rsidRPr="007E56DA">
        <w:rPr>
          <w:rFonts w:ascii="Times New Roman" w:eastAsia="Arial" w:hAnsi="Times New Roman" w:cs="Times New Roman"/>
          <w:color w:val="auto"/>
          <w:sz w:val="24"/>
          <w:szCs w:val="24"/>
        </w:rPr>
        <w:t xml:space="preserve">inspirando a la sociedad civil a reclamar una legislación que </w:t>
      </w:r>
      <w:r w:rsidRPr="007E56DA">
        <w:rPr>
          <w:rFonts w:ascii="Times New Roman" w:eastAsia="Arial" w:hAnsi="Times New Roman" w:cs="Times New Roman"/>
          <w:color w:val="auto"/>
          <w:sz w:val="24"/>
          <w:szCs w:val="24"/>
        </w:rPr>
        <w:t xml:space="preserve">hiciera de la </w:t>
      </w:r>
      <w:r w:rsidR="002010B0" w:rsidRPr="007E56DA">
        <w:rPr>
          <w:rFonts w:ascii="Times New Roman" w:eastAsia="Arial" w:hAnsi="Times New Roman" w:cs="Times New Roman"/>
          <w:color w:val="auto"/>
          <w:sz w:val="24"/>
          <w:szCs w:val="24"/>
        </w:rPr>
        <w:t>trata, un delito (Vallejos, 2013</w:t>
      </w:r>
      <w:r w:rsidRPr="007E56DA">
        <w:rPr>
          <w:rFonts w:ascii="Times New Roman" w:eastAsia="Arial" w:hAnsi="Times New Roman" w:cs="Times New Roman"/>
          <w:color w:val="auto"/>
          <w:sz w:val="24"/>
          <w:szCs w:val="24"/>
        </w:rPr>
        <w:t xml:space="preserve">: </w:t>
      </w:r>
      <w:r w:rsidR="002010B0" w:rsidRPr="007E56DA">
        <w:rPr>
          <w:rFonts w:ascii="Times New Roman" w:eastAsia="Arial" w:hAnsi="Times New Roman" w:cs="Times New Roman"/>
          <w:color w:val="auto"/>
          <w:sz w:val="24"/>
          <w:szCs w:val="24"/>
        </w:rPr>
        <w:t>133)</w:t>
      </w:r>
      <w:r w:rsidRPr="007E56DA">
        <w:rPr>
          <w:rFonts w:ascii="Times New Roman" w:eastAsia="Arial" w:hAnsi="Times New Roman" w:cs="Times New Roman"/>
          <w:color w:val="auto"/>
          <w:sz w:val="24"/>
          <w:szCs w:val="24"/>
        </w:rPr>
        <w:t>.</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Es en el año 2008 que la repercusión del tema se amplifica con la serie televisiva </w:t>
      </w:r>
      <w:r w:rsidRPr="007E56DA">
        <w:rPr>
          <w:rFonts w:ascii="Times New Roman" w:eastAsia="Arial" w:hAnsi="Times New Roman" w:cs="Times New Roman"/>
          <w:i/>
          <w:color w:val="auto"/>
          <w:sz w:val="24"/>
          <w:szCs w:val="24"/>
        </w:rPr>
        <w:t>Vidas Robadas,</w:t>
      </w:r>
      <w:r w:rsidRPr="007E56DA">
        <w:rPr>
          <w:rFonts w:ascii="Times New Roman" w:eastAsia="Arial" w:hAnsi="Times New Roman" w:cs="Times New Roman"/>
          <w:color w:val="auto"/>
          <w:sz w:val="24"/>
          <w:szCs w:val="24"/>
        </w:rPr>
        <w:t xml:space="preserve"> emitida por el canal </w:t>
      </w:r>
      <w:r w:rsidRPr="007E56DA">
        <w:rPr>
          <w:rFonts w:ascii="Times New Roman" w:eastAsia="Arial" w:hAnsi="Times New Roman" w:cs="Times New Roman"/>
          <w:color w:val="auto"/>
          <w:sz w:val="24"/>
          <w:szCs w:val="24"/>
          <w:highlight w:val="white"/>
        </w:rPr>
        <w:t>Telefe</w:t>
      </w:r>
      <w:r w:rsidR="00AF7286" w:rsidRPr="007E56DA">
        <w:rPr>
          <w:rFonts w:ascii="Times New Roman" w:eastAsia="Arial" w:hAnsi="Times New Roman" w:cs="Times New Roman"/>
          <w:color w:val="auto"/>
          <w:sz w:val="24"/>
          <w:szCs w:val="24"/>
          <w:highlight w:val="white"/>
        </w:rPr>
        <w:t>,</w:t>
      </w:r>
      <w:r w:rsidRPr="007E56DA">
        <w:rPr>
          <w:rFonts w:ascii="Times New Roman" w:eastAsia="Arial" w:hAnsi="Times New Roman" w:cs="Times New Roman"/>
          <w:color w:val="auto"/>
          <w:sz w:val="24"/>
          <w:szCs w:val="24"/>
        </w:rPr>
        <w:t xml:space="preserve">sumado al apoyo que obtiene de </w:t>
      </w:r>
      <w:r w:rsidR="00AF7286" w:rsidRPr="007E56DA">
        <w:rPr>
          <w:rFonts w:ascii="Times New Roman" w:eastAsia="Arial" w:hAnsi="Times New Roman" w:cs="Times New Roman"/>
          <w:color w:val="auto"/>
          <w:sz w:val="24"/>
          <w:szCs w:val="24"/>
        </w:rPr>
        <w:t>actores</w:t>
      </w:r>
      <w:r w:rsidRPr="007E56DA">
        <w:rPr>
          <w:rFonts w:ascii="Times New Roman" w:eastAsia="Arial" w:hAnsi="Times New Roman" w:cs="Times New Roman"/>
          <w:color w:val="auto"/>
          <w:sz w:val="24"/>
          <w:szCs w:val="24"/>
        </w:rPr>
        <w:t xml:space="preserve"> de la tira y otros </w:t>
      </w:r>
      <w:r w:rsidR="00AF7286" w:rsidRPr="007E56DA">
        <w:rPr>
          <w:rFonts w:ascii="Times New Roman" w:eastAsia="Arial" w:hAnsi="Times New Roman" w:cs="Times New Roman"/>
          <w:color w:val="auto"/>
          <w:sz w:val="24"/>
          <w:szCs w:val="24"/>
        </w:rPr>
        <w:t xml:space="preserve">miembros </w:t>
      </w:r>
      <w:r w:rsidRPr="007E56DA">
        <w:rPr>
          <w:rFonts w:ascii="Times New Roman" w:eastAsia="Arial" w:hAnsi="Times New Roman" w:cs="Times New Roman"/>
          <w:color w:val="auto"/>
          <w:sz w:val="24"/>
          <w:szCs w:val="24"/>
        </w:rPr>
        <w:t>de la comunidad artística</w:t>
      </w:r>
      <w:r w:rsidRPr="007E56DA">
        <w:rPr>
          <w:rFonts w:ascii="Times New Roman" w:eastAsia="Arial" w:hAnsi="Times New Roman" w:cs="Times New Roman"/>
          <w:color w:val="auto"/>
          <w:sz w:val="24"/>
          <w:szCs w:val="24"/>
          <w:vertAlign w:val="superscript"/>
        </w:rPr>
        <w:footnoteReference w:id="44"/>
      </w:r>
      <w:r w:rsidR="00AF7286" w:rsidRPr="007E56DA">
        <w:rPr>
          <w:rFonts w:ascii="Times New Roman" w:eastAsia="Arial" w:hAnsi="Times New Roman" w:cs="Times New Roman"/>
          <w:color w:val="auto"/>
          <w:sz w:val="24"/>
          <w:szCs w:val="24"/>
        </w:rPr>
        <w:t>quienes</w:t>
      </w:r>
      <w:r w:rsidRPr="007E56DA">
        <w:rPr>
          <w:rFonts w:ascii="Times New Roman" w:eastAsia="Arial" w:hAnsi="Times New Roman" w:cs="Times New Roman"/>
          <w:color w:val="auto"/>
          <w:sz w:val="24"/>
          <w:szCs w:val="24"/>
        </w:rPr>
        <w:t xml:space="preserve"> se h</w:t>
      </w:r>
      <w:r w:rsidR="00AF7286" w:rsidRPr="007E56DA">
        <w:rPr>
          <w:rFonts w:ascii="Times New Roman" w:eastAsia="Arial" w:hAnsi="Times New Roman" w:cs="Times New Roman"/>
          <w:color w:val="auto"/>
          <w:sz w:val="24"/>
          <w:szCs w:val="24"/>
        </w:rPr>
        <w:t xml:space="preserve">icieron </w:t>
      </w:r>
      <w:r w:rsidRPr="007E56DA">
        <w:rPr>
          <w:rFonts w:ascii="Times New Roman" w:eastAsia="Arial" w:hAnsi="Times New Roman" w:cs="Times New Roman"/>
          <w:color w:val="auto"/>
          <w:sz w:val="24"/>
          <w:szCs w:val="24"/>
        </w:rPr>
        <w:t xml:space="preserve">portavoces de la causa.  </w:t>
      </w:r>
    </w:p>
    <w:p w:rsidR="002010B0" w:rsidRPr="007E56DA" w:rsidRDefault="002010B0" w:rsidP="00F81292">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La FMA se convirtió en un referente nacional del tema de Trata</w:t>
      </w:r>
      <w:r w:rsidR="00AF7286" w:rsidRPr="007E56DA">
        <w:rPr>
          <w:rFonts w:ascii="Times New Roman" w:eastAsia="Arial" w:hAnsi="Times New Roman" w:cs="Times New Roman"/>
          <w:color w:val="auto"/>
          <w:sz w:val="24"/>
          <w:szCs w:val="24"/>
        </w:rPr>
        <w:t xml:space="preserve">. Efectuó </w:t>
      </w:r>
      <w:r w:rsidRPr="007E56DA">
        <w:rPr>
          <w:rFonts w:ascii="Times New Roman" w:eastAsia="Arial" w:hAnsi="Times New Roman" w:cs="Times New Roman"/>
          <w:color w:val="auto"/>
          <w:sz w:val="24"/>
          <w:szCs w:val="24"/>
        </w:rPr>
        <w:t>capacitaciones técnicas y tal</w:t>
      </w:r>
      <w:r w:rsidR="00F81292" w:rsidRPr="007E56DA">
        <w:rPr>
          <w:rFonts w:ascii="Times New Roman" w:eastAsia="Arial" w:hAnsi="Times New Roman" w:cs="Times New Roman"/>
          <w:color w:val="auto"/>
          <w:sz w:val="24"/>
          <w:szCs w:val="24"/>
        </w:rPr>
        <w:t>leres para diferentes actores (</w:t>
      </w:r>
      <w:r w:rsidRPr="007E56DA">
        <w:rPr>
          <w:rFonts w:ascii="Times New Roman" w:eastAsia="Arial" w:hAnsi="Times New Roman" w:cs="Times New Roman"/>
          <w:color w:val="auto"/>
          <w:sz w:val="24"/>
          <w:szCs w:val="24"/>
        </w:rPr>
        <w:t>fuerzas de seguridad, munici</w:t>
      </w:r>
      <w:r w:rsidR="00AF7286" w:rsidRPr="007E56DA">
        <w:rPr>
          <w:rFonts w:ascii="Times New Roman" w:eastAsia="Arial" w:hAnsi="Times New Roman" w:cs="Times New Roman"/>
          <w:color w:val="auto"/>
          <w:sz w:val="24"/>
          <w:szCs w:val="24"/>
        </w:rPr>
        <w:t>pios, profesionales de la salud y</w:t>
      </w:r>
      <w:r w:rsidRPr="007E56DA">
        <w:rPr>
          <w:rFonts w:ascii="Times New Roman" w:eastAsia="Arial" w:hAnsi="Times New Roman" w:cs="Times New Roman"/>
          <w:color w:val="auto"/>
          <w:sz w:val="24"/>
          <w:szCs w:val="24"/>
        </w:rPr>
        <w:t xml:space="preserve"> otras OSC) con el objetivo de </w:t>
      </w:r>
      <w:r w:rsidR="00AF7286" w:rsidRPr="007E56DA">
        <w:rPr>
          <w:rFonts w:ascii="Times New Roman" w:eastAsia="Arial" w:hAnsi="Times New Roman" w:cs="Times New Roman"/>
          <w:color w:val="auto"/>
          <w:sz w:val="24"/>
          <w:szCs w:val="24"/>
        </w:rPr>
        <w:t xml:space="preserve">divulgar y formar para la </w:t>
      </w:r>
      <w:r w:rsidRPr="007E56DA">
        <w:rPr>
          <w:rFonts w:ascii="Times New Roman" w:eastAsia="Arial" w:hAnsi="Times New Roman" w:cs="Times New Roman"/>
          <w:color w:val="auto"/>
          <w:sz w:val="24"/>
          <w:szCs w:val="24"/>
        </w:rPr>
        <w:t xml:space="preserve">prevención </w:t>
      </w:r>
      <w:r w:rsidR="00AF7286" w:rsidRPr="007E56DA">
        <w:rPr>
          <w:rFonts w:ascii="Times New Roman" w:eastAsia="Arial" w:hAnsi="Times New Roman" w:cs="Times New Roman"/>
          <w:color w:val="auto"/>
          <w:sz w:val="24"/>
          <w:szCs w:val="24"/>
        </w:rPr>
        <w:t>de la trata</w:t>
      </w:r>
      <w:r w:rsidRPr="007E56DA">
        <w:rPr>
          <w:rFonts w:ascii="Times New Roman" w:eastAsia="Arial" w:hAnsi="Times New Roman" w:cs="Times New Roman"/>
          <w:color w:val="auto"/>
          <w:sz w:val="24"/>
          <w:szCs w:val="24"/>
          <w:vertAlign w:val="superscript"/>
        </w:rPr>
        <w:footnoteReference w:id="45"/>
      </w:r>
      <w:r w:rsidRPr="007E56DA">
        <w:rPr>
          <w:rFonts w:ascii="Times New Roman" w:eastAsia="Arial" w:hAnsi="Times New Roman" w:cs="Times New Roman"/>
          <w:color w:val="auto"/>
          <w:sz w:val="24"/>
          <w:szCs w:val="24"/>
        </w:rPr>
        <w:t xml:space="preserve">. </w:t>
      </w:r>
      <w:r w:rsidR="00BC4BC6" w:rsidRPr="007E56DA">
        <w:rPr>
          <w:rFonts w:ascii="Times New Roman" w:eastAsia="Arial" w:hAnsi="Times New Roman" w:cs="Times New Roman"/>
          <w:color w:val="auto"/>
          <w:sz w:val="24"/>
          <w:szCs w:val="24"/>
        </w:rPr>
        <w:t>En este momento, ya no só</w:t>
      </w:r>
      <w:r w:rsidRPr="007E56DA">
        <w:rPr>
          <w:rFonts w:ascii="Times New Roman" w:eastAsia="Arial" w:hAnsi="Times New Roman" w:cs="Times New Roman"/>
          <w:color w:val="auto"/>
          <w:sz w:val="24"/>
          <w:szCs w:val="24"/>
        </w:rPr>
        <w:t>lo se hablaba de la desaparición y rescate de víctima</w:t>
      </w:r>
      <w:r w:rsidR="00AF7286" w:rsidRPr="007E56DA">
        <w:rPr>
          <w:rFonts w:ascii="Times New Roman" w:eastAsia="Arial" w:hAnsi="Times New Roman" w:cs="Times New Roman"/>
          <w:color w:val="auto"/>
          <w:sz w:val="24"/>
          <w:szCs w:val="24"/>
        </w:rPr>
        <w:t xml:space="preserve">s, </w:t>
      </w:r>
      <w:r w:rsidRPr="007E56DA">
        <w:rPr>
          <w:rFonts w:ascii="Times New Roman" w:eastAsia="Arial" w:hAnsi="Times New Roman" w:cs="Times New Roman"/>
          <w:color w:val="auto"/>
          <w:sz w:val="24"/>
          <w:szCs w:val="24"/>
        </w:rPr>
        <w:t>sino de</w:t>
      </w:r>
      <w:r w:rsidR="00AF7286" w:rsidRPr="007E56DA">
        <w:rPr>
          <w:rFonts w:ascii="Times New Roman" w:eastAsia="Arial" w:hAnsi="Times New Roman" w:cs="Times New Roman"/>
          <w:color w:val="auto"/>
          <w:sz w:val="24"/>
          <w:szCs w:val="24"/>
        </w:rPr>
        <w:t xml:space="preserve"> la urgencia de contar con una l</w:t>
      </w:r>
      <w:r w:rsidRPr="007E56DA">
        <w:rPr>
          <w:rFonts w:ascii="Times New Roman" w:eastAsia="Arial" w:hAnsi="Times New Roman" w:cs="Times New Roman"/>
          <w:color w:val="auto"/>
          <w:sz w:val="24"/>
          <w:szCs w:val="24"/>
        </w:rPr>
        <w:t xml:space="preserve">ey </w:t>
      </w:r>
      <w:r w:rsidR="00AF7286" w:rsidRPr="007E56DA">
        <w:rPr>
          <w:rFonts w:ascii="Times New Roman" w:eastAsia="Arial" w:hAnsi="Times New Roman" w:cs="Times New Roman"/>
          <w:color w:val="auto"/>
          <w:sz w:val="24"/>
          <w:szCs w:val="24"/>
        </w:rPr>
        <w:t>específica que regulara el problema.</w:t>
      </w:r>
    </w:p>
    <w:p w:rsidR="002010B0" w:rsidRPr="007E56DA" w:rsidRDefault="002010B0" w:rsidP="00F81292">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Est</w:t>
      </w:r>
      <w:r w:rsidR="00AF7286" w:rsidRPr="007E56DA">
        <w:rPr>
          <w:rFonts w:ascii="Times New Roman" w:eastAsia="Arial" w:hAnsi="Times New Roman" w:cs="Times New Roman"/>
          <w:color w:val="auto"/>
          <w:sz w:val="24"/>
          <w:szCs w:val="24"/>
        </w:rPr>
        <w:t>os hechos fueron consolidando la</w:t>
      </w:r>
      <w:r w:rsidRPr="007E56DA">
        <w:rPr>
          <w:rFonts w:ascii="Times New Roman" w:eastAsia="Arial" w:hAnsi="Times New Roman" w:cs="Times New Roman"/>
          <w:color w:val="auto"/>
          <w:sz w:val="24"/>
          <w:szCs w:val="24"/>
        </w:rPr>
        <w:t xml:space="preserve"> competencia</w:t>
      </w:r>
      <w:r w:rsidR="00AF7286" w:rsidRPr="007E56DA">
        <w:rPr>
          <w:rFonts w:ascii="Times New Roman" w:eastAsia="Arial" w:hAnsi="Times New Roman" w:cs="Times New Roman"/>
          <w:color w:val="auto"/>
          <w:sz w:val="24"/>
          <w:szCs w:val="24"/>
        </w:rPr>
        <w:t xml:space="preserve"> de la FMA</w:t>
      </w:r>
      <w:r w:rsidRPr="007E56DA">
        <w:rPr>
          <w:rFonts w:ascii="Times New Roman" w:eastAsia="Arial" w:hAnsi="Times New Roman" w:cs="Times New Roman"/>
          <w:color w:val="auto"/>
          <w:sz w:val="24"/>
          <w:szCs w:val="24"/>
        </w:rPr>
        <w:t>, mejorando sus posibilidades de incidencia para hacer de un tema que estaba en los márgenes</w:t>
      </w:r>
      <w:r w:rsidR="00AF7286" w:rsidRPr="007E56DA">
        <w:rPr>
          <w:rFonts w:ascii="Times New Roman" w:eastAsia="Arial" w:hAnsi="Times New Roman" w:cs="Times New Roman"/>
          <w:color w:val="auto"/>
          <w:sz w:val="24"/>
          <w:szCs w:val="24"/>
        </w:rPr>
        <w:t xml:space="preserve"> e</w:t>
      </w:r>
      <w:r w:rsidRPr="007E56DA">
        <w:rPr>
          <w:rFonts w:ascii="Times New Roman" w:eastAsia="Arial" w:hAnsi="Times New Roman" w:cs="Times New Roman"/>
          <w:color w:val="auto"/>
          <w:sz w:val="24"/>
          <w:szCs w:val="24"/>
        </w:rPr>
        <w:t xml:space="preserve"> invisibilizado</w:t>
      </w:r>
      <w:r w:rsidR="00AF7286" w:rsidRPr="007E56DA">
        <w:rPr>
          <w:rFonts w:ascii="Times New Roman" w:eastAsia="Arial" w:hAnsi="Times New Roman" w:cs="Times New Roman"/>
          <w:color w:val="auto"/>
          <w:sz w:val="24"/>
          <w:szCs w:val="24"/>
        </w:rPr>
        <w:t>;</w:t>
      </w:r>
      <w:r w:rsidRPr="007E56DA">
        <w:rPr>
          <w:rFonts w:ascii="Times New Roman" w:eastAsia="Arial" w:hAnsi="Times New Roman" w:cs="Times New Roman"/>
          <w:color w:val="auto"/>
          <w:sz w:val="24"/>
          <w:szCs w:val="24"/>
        </w:rPr>
        <w:t xml:space="preserve"> un tema de agenda pública y política. También permitió que una acción que había comenzado </w:t>
      </w:r>
      <w:r w:rsidR="00AF7286" w:rsidRPr="007E56DA">
        <w:rPr>
          <w:rFonts w:ascii="Times New Roman" w:eastAsia="Arial" w:hAnsi="Times New Roman" w:cs="Times New Roman"/>
          <w:color w:val="auto"/>
          <w:sz w:val="24"/>
          <w:szCs w:val="24"/>
        </w:rPr>
        <w:t>como un reclamo individual y aislado, c</w:t>
      </w:r>
      <w:r w:rsidRPr="007E56DA">
        <w:rPr>
          <w:rFonts w:ascii="Times New Roman" w:eastAsia="Arial" w:hAnsi="Times New Roman" w:cs="Times New Roman"/>
          <w:color w:val="auto"/>
          <w:sz w:val="24"/>
          <w:szCs w:val="24"/>
        </w:rPr>
        <w:t xml:space="preserve">obrara fuerza </w:t>
      </w:r>
      <w:r w:rsidR="00AF7286" w:rsidRPr="007E56DA">
        <w:rPr>
          <w:rFonts w:ascii="Times New Roman" w:eastAsia="Arial" w:hAnsi="Times New Roman" w:cs="Times New Roman"/>
          <w:color w:val="auto"/>
          <w:sz w:val="24"/>
          <w:szCs w:val="24"/>
        </w:rPr>
        <w:t xml:space="preserve">y se articulara en el marco de una </w:t>
      </w:r>
      <w:r w:rsidRPr="007E56DA">
        <w:rPr>
          <w:rFonts w:ascii="Times New Roman" w:eastAsia="Arial" w:hAnsi="Times New Roman" w:cs="Times New Roman"/>
          <w:color w:val="auto"/>
          <w:sz w:val="24"/>
          <w:szCs w:val="24"/>
        </w:rPr>
        <w:t xml:space="preserve">organización </w:t>
      </w:r>
      <w:r w:rsidR="00AF7286" w:rsidRPr="007E56DA">
        <w:rPr>
          <w:rFonts w:ascii="Times New Roman" w:eastAsia="Arial" w:hAnsi="Times New Roman" w:cs="Times New Roman"/>
          <w:color w:val="auto"/>
          <w:sz w:val="24"/>
          <w:szCs w:val="24"/>
        </w:rPr>
        <w:t xml:space="preserve">cuyo reclamo y acciones fueron </w:t>
      </w:r>
      <w:r w:rsidRPr="007E56DA">
        <w:rPr>
          <w:rFonts w:ascii="Times New Roman" w:eastAsia="Arial" w:hAnsi="Times New Roman" w:cs="Times New Roman"/>
          <w:color w:val="auto"/>
          <w:sz w:val="24"/>
          <w:szCs w:val="24"/>
        </w:rPr>
        <w:t>reconoci</w:t>
      </w:r>
      <w:r w:rsidR="00AF7286" w:rsidRPr="007E56DA">
        <w:rPr>
          <w:rFonts w:ascii="Times New Roman" w:eastAsia="Arial" w:hAnsi="Times New Roman" w:cs="Times New Roman"/>
          <w:color w:val="auto"/>
          <w:sz w:val="24"/>
          <w:szCs w:val="24"/>
        </w:rPr>
        <w:t>das y apoyadas.</w:t>
      </w:r>
    </w:p>
    <w:p w:rsidR="000912FD" w:rsidRPr="007E56DA" w:rsidRDefault="000912FD" w:rsidP="00151D45">
      <w:pPr>
        <w:pStyle w:val="Normal1"/>
        <w:spacing w:after="0" w:line="360" w:lineRule="auto"/>
        <w:jc w:val="both"/>
        <w:rPr>
          <w:rFonts w:ascii="Times New Roman" w:hAnsi="Times New Roman" w:cs="Times New Roman"/>
          <w:color w:val="auto"/>
          <w:sz w:val="24"/>
          <w:szCs w:val="24"/>
        </w:rPr>
      </w:pPr>
    </w:p>
    <w:p w:rsidR="00CD364E" w:rsidRPr="007E56DA" w:rsidRDefault="000912FD" w:rsidP="002B4765">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Al comparar las trayectorias en las que se fue configurando el sistema de relaciones en el que se inserta cada OSC, identificamos entre las diferencias: </w:t>
      </w:r>
      <w:r w:rsidR="00DE1F52" w:rsidRPr="007E56DA">
        <w:rPr>
          <w:rFonts w:ascii="Times New Roman" w:hAnsi="Times New Roman" w:cs="Times New Roman"/>
          <w:color w:val="auto"/>
          <w:sz w:val="24"/>
          <w:szCs w:val="24"/>
        </w:rPr>
        <w:t xml:space="preserve">que mientras la FMA inicia </w:t>
      </w:r>
      <w:r w:rsidR="00151D45" w:rsidRPr="007E56DA">
        <w:rPr>
          <w:rFonts w:ascii="Times New Roman" w:hAnsi="Times New Roman" w:cs="Times New Roman"/>
          <w:color w:val="auto"/>
          <w:sz w:val="24"/>
          <w:szCs w:val="24"/>
        </w:rPr>
        <w:t>como una lucha particular, personal y solitaria</w:t>
      </w:r>
      <w:r w:rsidR="00DE1F52" w:rsidRPr="007E56DA">
        <w:rPr>
          <w:rFonts w:ascii="Times New Roman" w:hAnsi="Times New Roman" w:cs="Times New Roman"/>
          <w:color w:val="auto"/>
          <w:sz w:val="24"/>
          <w:szCs w:val="24"/>
        </w:rPr>
        <w:t xml:space="preserve"> de la madre de Marita Verón</w:t>
      </w:r>
      <w:r w:rsidR="00CD364E" w:rsidRPr="007E56DA">
        <w:rPr>
          <w:rFonts w:ascii="Times New Roman" w:hAnsi="Times New Roman" w:cs="Times New Roman"/>
          <w:color w:val="auto"/>
          <w:sz w:val="24"/>
          <w:szCs w:val="24"/>
        </w:rPr>
        <w:t xml:space="preserve">, quien contaba con escaso poder de incidencia, proporcional a su lugar social y a las competencias definidas allí (no se trataba de una figura pública, de clase trabajadora , ama de casa, casada y residente en un barrio popular de las afueras de la capital </w:t>
      </w:r>
      <w:r w:rsidR="00CD364E" w:rsidRPr="007E56DA">
        <w:rPr>
          <w:rFonts w:ascii="Times New Roman" w:hAnsi="Times New Roman" w:cs="Times New Roman"/>
          <w:color w:val="auto"/>
          <w:sz w:val="24"/>
          <w:szCs w:val="24"/>
        </w:rPr>
        <w:lastRenderedPageBreak/>
        <w:t xml:space="preserve">tucumana); </w:t>
      </w:r>
      <w:r w:rsidR="00DE1F52" w:rsidRPr="007E56DA">
        <w:rPr>
          <w:rFonts w:ascii="Times New Roman" w:hAnsi="Times New Roman" w:cs="Times New Roman"/>
          <w:color w:val="auto"/>
          <w:sz w:val="24"/>
          <w:szCs w:val="24"/>
        </w:rPr>
        <w:t xml:space="preserve">la AJL </w:t>
      </w:r>
      <w:r w:rsidR="002B4765" w:rsidRPr="007E56DA">
        <w:rPr>
          <w:rFonts w:ascii="Times New Roman" w:hAnsi="Times New Roman" w:cs="Times New Roman"/>
          <w:color w:val="auto"/>
          <w:sz w:val="24"/>
          <w:szCs w:val="24"/>
        </w:rPr>
        <w:t xml:space="preserve">se articula </w:t>
      </w:r>
      <w:r w:rsidR="00DE1F52" w:rsidRPr="007E56DA">
        <w:rPr>
          <w:rFonts w:ascii="Times New Roman" w:hAnsi="Times New Roman" w:cs="Times New Roman"/>
          <w:color w:val="auto"/>
          <w:sz w:val="24"/>
          <w:szCs w:val="24"/>
        </w:rPr>
        <w:t>como resultado de la crítica colectiva de un grupo articulado</w:t>
      </w:r>
      <w:r w:rsidR="008318E3" w:rsidRPr="007E56DA">
        <w:rPr>
          <w:rFonts w:ascii="Times New Roman" w:hAnsi="Times New Roman" w:cs="Times New Roman"/>
          <w:color w:val="auto"/>
          <w:sz w:val="24"/>
          <w:szCs w:val="24"/>
        </w:rPr>
        <w:t>, cuyos miembros</w:t>
      </w:r>
      <w:r w:rsidR="00CD364E" w:rsidRPr="007E56DA">
        <w:rPr>
          <w:rFonts w:ascii="Times New Roman" w:hAnsi="Times New Roman" w:cs="Times New Roman"/>
          <w:color w:val="auto"/>
          <w:sz w:val="24"/>
          <w:szCs w:val="24"/>
        </w:rPr>
        <w:t xml:space="preserve"> ya contaban con mejor poder relativo en el sistema de relaciones en el cual se insertaban dentro de la estructura judicial, si bien, en discrepancia con la posición oficial de las asociaciones profesionales que los representaban (especialmente, con respecto al conflicto entre el gobierno de Cristina Fernández y el grupo Clarín).</w:t>
      </w:r>
    </w:p>
    <w:p w:rsidR="004036B6" w:rsidRPr="007E56DA" w:rsidRDefault="00B76CFF" w:rsidP="00151D45">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Además, mientras que el disparador de la formación de la FMA fue </w:t>
      </w:r>
      <w:r w:rsidR="00151D45" w:rsidRPr="007E56DA">
        <w:rPr>
          <w:rFonts w:ascii="Times New Roman" w:hAnsi="Times New Roman" w:cs="Times New Roman"/>
          <w:color w:val="auto"/>
          <w:sz w:val="24"/>
          <w:szCs w:val="24"/>
        </w:rPr>
        <w:t>la pérdida de un familiar</w:t>
      </w:r>
      <w:r w:rsidR="008B6782" w:rsidRPr="007E56DA">
        <w:rPr>
          <w:rFonts w:ascii="Times New Roman" w:hAnsi="Times New Roman" w:cs="Times New Roman"/>
          <w:color w:val="auto"/>
          <w:sz w:val="24"/>
          <w:szCs w:val="24"/>
        </w:rPr>
        <w:t xml:space="preserve"> de quien, luego</w:t>
      </w:r>
      <w:r w:rsidRPr="007E56DA">
        <w:rPr>
          <w:rFonts w:ascii="Times New Roman" w:hAnsi="Times New Roman" w:cs="Times New Roman"/>
          <w:color w:val="auto"/>
          <w:sz w:val="24"/>
          <w:szCs w:val="24"/>
        </w:rPr>
        <w:t xml:space="preserve">, </w:t>
      </w:r>
      <w:r w:rsidR="008B6782" w:rsidRPr="007E56DA">
        <w:rPr>
          <w:rFonts w:ascii="Times New Roman" w:hAnsi="Times New Roman" w:cs="Times New Roman"/>
          <w:color w:val="auto"/>
          <w:sz w:val="24"/>
          <w:szCs w:val="24"/>
        </w:rPr>
        <w:t xml:space="preserve">sería su fundadora; </w:t>
      </w:r>
      <w:r w:rsidRPr="007E56DA">
        <w:rPr>
          <w:rFonts w:ascii="Times New Roman" w:hAnsi="Times New Roman" w:cs="Times New Roman"/>
          <w:color w:val="auto"/>
          <w:sz w:val="24"/>
          <w:szCs w:val="24"/>
        </w:rPr>
        <w:t>en el caso de la AJL</w:t>
      </w:r>
      <w:r w:rsidR="008B6782" w:rsidRPr="007E56DA">
        <w:rPr>
          <w:rFonts w:ascii="Times New Roman" w:hAnsi="Times New Roman" w:cs="Times New Roman"/>
          <w:color w:val="auto"/>
          <w:sz w:val="24"/>
          <w:szCs w:val="24"/>
        </w:rPr>
        <w:t>,</w:t>
      </w:r>
      <w:r w:rsidR="00DB535A" w:rsidRPr="007E56DA">
        <w:rPr>
          <w:rFonts w:ascii="Times New Roman" w:hAnsi="Times New Roman" w:cs="Times New Roman"/>
          <w:color w:val="auto"/>
          <w:sz w:val="24"/>
          <w:szCs w:val="24"/>
        </w:rPr>
        <w:t xml:space="preserve"> se trató del </w:t>
      </w:r>
      <w:r w:rsidR="00465D96" w:rsidRPr="007E56DA">
        <w:rPr>
          <w:rFonts w:ascii="Times New Roman" w:hAnsi="Times New Roman" w:cs="Times New Roman"/>
          <w:color w:val="auto"/>
          <w:sz w:val="24"/>
          <w:szCs w:val="24"/>
        </w:rPr>
        <w:t>conflicto con Clarín</w:t>
      </w:r>
      <w:r w:rsidR="008B6782" w:rsidRPr="007E56DA">
        <w:rPr>
          <w:rFonts w:ascii="Times New Roman" w:hAnsi="Times New Roman" w:cs="Times New Roman"/>
          <w:color w:val="auto"/>
          <w:sz w:val="24"/>
          <w:szCs w:val="24"/>
        </w:rPr>
        <w:t xml:space="preserve">, el cual </w:t>
      </w:r>
      <w:r w:rsidR="004036B6" w:rsidRPr="007E56DA">
        <w:rPr>
          <w:rFonts w:ascii="Times New Roman" w:hAnsi="Times New Roman" w:cs="Times New Roman"/>
          <w:color w:val="auto"/>
          <w:sz w:val="24"/>
          <w:szCs w:val="24"/>
        </w:rPr>
        <w:t>posibilit</w:t>
      </w:r>
      <w:r w:rsidR="008B6782" w:rsidRPr="007E56DA">
        <w:rPr>
          <w:rFonts w:ascii="Times New Roman" w:hAnsi="Times New Roman" w:cs="Times New Roman"/>
          <w:color w:val="auto"/>
          <w:sz w:val="24"/>
          <w:szCs w:val="24"/>
        </w:rPr>
        <w:t>ó</w:t>
      </w:r>
      <w:r w:rsidR="002A73A5">
        <w:rPr>
          <w:rFonts w:ascii="Times New Roman" w:hAnsi="Times New Roman" w:cs="Times New Roman"/>
          <w:color w:val="auto"/>
          <w:sz w:val="24"/>
          <w:szCs w:val="24"/>
        </w:rPr>
        <w:t xml:space="preserve"> </w:t>
      </w:r>
      <w:r w:rsidR="008B6782" w:rsidRPr="007E56DA">
        <w:rPr>
          <w:rFonts w:ascii="Times New Roman" w:hAnsi="Times New Roman" w:cs="Times New Roman"/>
          <w:color w:val="auto"/>
          <w:sz w:val="24"/>
          <w:szCs w:val="24"/>
        </w:rPr>
        <w:t xml:space="preserve">la expresión y visibilización de </w:t>
      </w:r>
      <w:r w:rsidR="004036B6" w:rsidRPr="007E56DA">
        <w:rPr>
          <w:rFonts w:ascii="Times New Roman" w:hAnsi="Times New Roman" w:cs="Times New Roman"/>
          <w:color w:val="auto"/>
          <w:sz w:val="24"/>
          <w:szCs w:val="24"/>
        </w:rPr>
        <w:t xml:space="preserve">conflictos de intereses al interior de </w:t>
      </w:r>
      <w:r w:rsidR="008B6782" w:rsidRPr="007E56DA">
        <w:rPr>
          <w:rFonts w:ascii="Times New Roman" w:hAnsi="Times New Roman" w:cs="Times New Roman"/>
          <w:color w:val="auto"/>
          <w:sz w:val="24"/>
          <w:szCs w:val="24"/>
        </w:rPr>
        <w:t xml:space="preserve">la </w:t>
      </w:r>
      <w:r w:rsidR="004036B6" w:rsidRPr="007E56DA">
        <w:rPr>
          <w:rFonts w:ascii="Times New Roman" w:hAnsi="Times New Roman" w:cs="Times New Roman"/>
          <w:color w:val="auto"/>
          <w:sz w:val="24"/>
          <w:szCs w:val="24"/>
        </w:rPr>
        <w:t>institución judicial.</w:t>
      </w:r>
    </w:p>
    <w:p w:rsidR="008C151E" w:rsidRPr="007E56DA" w:rsidRDefault="00196F4D" w:rsidP="00151D45">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Entre las diferencias, cabe señalar </w:t>
      </w:r>
      <w:r w:rsidR="00F35D42" w:rsidRPr="007E56DA">
        <w:rPr>
          <w:rFonts w:ascii="Times New Roman" w:hAnsi="Times New Roman" w:cs="Times New Roman"/>
          <w:color w:val="auto"/>
          <w:sz w:val="24"/>
          <w:szCs w:val="24"/>
        </w:rPr>
        <w:t xml:space="preserve">también </w:t>
      </w:r>
      <w:r w:rsidRPr="007E56DA">
        <w:rPr>
          <w:rFonts w:ascii="Times New Roman" w:hAnsi="Times New Roman" w:cs="Times New Roman"/>
          <w:color w:val="auto"/>
          <w:sz w:val="24"/>
          <w:szCs w:val="24"/>
        </w:rPr>
        <w:t xml:space="preserve">que mientras </w:t>
      </w:r>
      <w:r w:rsidR="00F35D42" w:rsidRPr="007E56DA">
        <w:rPr>
          <w:rFonts w:ascii="Times New Roman" w:hAnsi="Times New Roman" w:cs="Times New Roman"/>
          <w:color w:val="auto"/>
          <w:sz w:val="24"/>
          <w:szCs w:val="24"/>
        </w:rPr>
        <w:t>l</w:t>
      </w:r>
      <w:r w:rsidRPr="007E56DA">
        <w:rPr>
          <w:rFonts w:ascii="Times New Roman" w:hAnsi="Times New Roman" w:cs="Times New Roman"/>
          <w:color w:val="auto"/>
          <w:sz w:val="24"/>
          <w:szCs w:val="24"/>
        </w:rPr>
        <w:t xml:space="preserve">a FMA </w:t>
      </w:r>
      <w:r w:rsidR="00D015A2" w:rsidRPr="007E56DA">
        <w:rPr>
          <w:rFonts w:ascii="Times New Roman" w:hAnsi="Times New Roman" w:cs="Times New Roman"/>
          <w:color w:val="auto"/>
          <w:sz w:val="24"/>
          <w:szCs w:val="24"/>
        </w:rPr>
        <w:t xml:space="preserve">consiguió </w:t>
      </w:r>
      <w:r w:rsidRPr="007E56DA">
        <w:rPr>
          <w:rFonts w:ascii="Times New Roman" w:hAnsi="Times New Roman" w:cs="Times New Roman"/>
          <w:color w:val="auto"/>
          <w:sz w:val="24"/>
          <w:szCs w:val="24"/>
        </w:rPr>
        <w:t>reconfigura</w:t>
      </w:r>
      <w:r w:rsidR="00D015A2" w:rsidRPr="007E56DA">
        <w:rPr>
          <w:rFonts w:ascii="Times New Roman" w:hAnsi="Times New Roman" w:cs="Times New Roman"/>
          <w:color w:val="auto"/>
          <w:sz w:val="24"/>
          <w:szCs w:val="24"/>
        </w:rPr>
        <w:t xml:space="preserve">r </w:t>
      </w:r>
      <w:r w:rsidRPr="007E56DA">
        <w:rPr>
          <w:rFonts w:ascii="Times New Roman" w:hAnsi="Times New Roman" w:cs="Times New Roman"/>
          <w:color w:val="auto"/>
          <w:sz w:val="24"/>
          <w:szCs w:val="24"/>
        </w:rPr>
        <w:t xml:space="preserve">su competencia en una instancia clave, como fue </w:t>
      </w:r>
      <w:r w:rsidR="00D015A2" w:rsidRPr="007E56DA">
        <w:rPr>
          <w:rFonts w:ascii="Times New Roman" w:hAnsi="Times New Roman" w:cs="Times New Roman"/>
          <w:color w:val="auto"/>
          <w:sz w:val="24"/>
          <w:szCs w:val="24"/>
        </w:rPr>
        <w:t xml:space="preserve">la </w:t>
      </w:r>
      <w:r w:rsidRPr="007E56DA">
        <w:rPr>
          <w:rFonts w:ascii="Times New Roman" w:hAnsi="Times New Roman" w:cs="Times New Roman"/>
          <w:color w:val="auto"/>
          <w:sz w:val="24"/>
          <w:szCs w:val="24"/>
        </w:rPr>
        <w:t xml:space="preserve">aparición </w:t>
      </w:r>
      <w:r w:rsidR="00D015A2" w:rsidRPr="007E56DA">
        <w:rPr>
          <w:rFonts w:ascii="Times New Roman" w:hAnsi="Times New Roman" w:cs="Times New Roman"/>
          <w:color w:val="auto"/>
          <w:sz w:val="24"/>
          <w:szCs w:val="24"/>
        </w:rPr>
        <w:t xml:space="preserve">de Trimarco </w:t>
      </w:r>
      <w:r w:rsidRPr="007E56DA">
        <w:rPr>
          <w:rFonts w:ascii="Times New Roman" w:hAnsi="Times New Roman" w:cs="Times New Roman"/>
          <w:color w:val="auto"/>
          <w:sz w:val="24"/>
          <w:szCs w:val="24"/>
        </w:rPr>
        <w:t>en programas centrales de la programación de los canales de aire de CABA</w:t>
      </w:r>
      <w:r w:rsidR="00D015A2" w:rsidRPr="007E56DA">
        <w:rPr>
          <w:rFonts w:ascii="Times New Roman" w:hAnsi="Times New Roman" w:cs="Times New Roman"/>
          <w:color w:val="auto"/>
          <w:sz w:val="24"/>
          <w:szCs w:val="24"/>
        </w:rPr>
        <w:t>, en donde se legitimaba su lucha y sus reclamos</w:t>
      </w:r>
      <w:r w:rsidRPr="007E56DA">
        <w:rPr>
          <w:rFonts w:ascii="Times New Roman" w:hAnsi="Times New Roman" w:cs="Times New Roman"/>
          <w:color w:val="auto"/>
          <w:sz w:val="24"/>
          <w:szCs w:val="24"/>
        </w:rPr>
        <w:t xml:space="preserve">; </w:t>
      </w:r>
      <w:r w:rsidR="00F35D42" w:rsidRPr="007E56DA">
        <w:rPr>
          <w:rFonts w:ascii="Times New Roman" w:hAnsi="Times New Roman" w:cs="Times New Roman"/>
          <w:color w:val="auto"/>
          <w:sz w:val="24"/>
          <w:szCs w:val="24"/>
        </w:rPr>
        <w:t>l</w:t>
      </w:r>
      <w:r w:rsidRPr="007E56DA">
        <w:rPr>
          <w:rFonts w:ascii="Times New Roman" w:hAnsi="Times New Roman" w:cs="Times New Roman"/>
          <w:color w:val="auto"/>
          <w:sz w:val="24"/>
          <w:szCs w:val="24"/>
        </w:rPr>
        <w:t>a AJL</w:t>
      </w:r>
      <w:r w:rsidR="00D015A2" w:rsidRPr="007E56DA">
        <w:rPr>
          <w:rFonts w:ascii="Times New Roman" w:hAnsi="Times New Roman" w:cs="Times New Roman"/>
          <w:color w:val="auto"/>
          <w:sz w:val="24"/>
          <w:szCs w:val="24"/>
        </w:rPr>
        <w:t xml:space="preserve"> contó desde su surgimiento con la visibilización en los medios centrales, si bien la construcción de sus reclamos era tanto legitimada como deslegitimada dependiendo de</w:t>
      </w:r>
      <w:r w:rsidR="00DA6916" w:rsidRPr="007E56DA">
        <w:rPr>
          <w:rFonts w:ascii="Times New Roman" w:hAnsi="Times New Roman" w:cs="Times New Roman"/>
          <w:color w:val="auto"/>
          <w:sz w:val="24"/>
          <w:szCs w:val="24"/>
        </w:rPr>
        <w:t xml:space="preserve"> si se tratara de medios afines o contrarios a la gestión de Cristina Fernández, y más puntualmente, a la Ley de Servicios de Comunicación Audiovisual</w:t>
      </w:r>
      <w:r w:rsidR="00B539E0" w:rsidRPr="007E56DA">
        <w:rPr>
          <w:rFonts w:ascii="Times New Roman" w:hAnsi="Times New Roman" w:cs="Times New Roman"/>
          <w:color w:val="auto"/>
          <w:sz w:val="24"/>
          <w:szCs w:val="24"/>
        </w:rPr>
        <w:t>. Este aspecto, el de la visibilización y aceptabilidad de los reclamos, se retomará en los siguientes apartados.</w:t>
      </w:r>
    </w:p>
    <w:p w:rsidR="00AE0AC3" w:rsidRPr="007E56DA" w:rsidRDefault="00D87AF4" w:rsidP="00AE0AC3">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Entre los puntos en común que se identificaron en el análisis del sistema de relaciones de estas OSC, se destaca como hecho clave para la comprensión de sus capacidades de incidencia en los debates y en </w:t>
      </w:r>
      <w:r w:rsidR="004C57EF" w:rsidRPr="007E56DA">
        <w:rPr>
          <w:rFonts w:ascii="Times New Roman" w:hAnsi="Times New Roman" w:cs="Times New Roman"/>
          <w:color w:val="auto"/>
          <w:sz w:val="24"/>
          <w:szCs w:val="24"/>
        </w:rPr>
        <w:t xml:space="preserve">las políticas, la </w:t>
      </w:r>
      <w:r w:rsidR="00F35D42" w:rsidRPr="007E56DA">
        <w:rPr>
          <w:rFonts w:ascii="Times New Roman" w:hAnsi="Times New Roman" w:cs="Times New Roman"/>
          <w:color w:val="auto"/>
          <w:sz w:val="24"/>
          <w:szCs w:val="24"/>
        </w:rPr>
        <w:t xml:space="preserve">posición </w:t>
      </w:r>
      <w:r w:rsidR="004C57EF" w:rsidRPr="007E56DA">
        <w:rPr>
          <w:rFonts w:ascii="Times New Roman" w:hAnsi="Times New Roman" w:cs="Times New Roman"/>
          <w:color w:val="auto"/>
          <w:sz w:val="24"/>
          <w:szCs w:val="24"/>
        </w:rPr>
        <w:t xml:space="preserve">respecto del </w:t>
      </w:r>
      <w:r w:rsidR="003F0324" w:rsidRPr="007E56DA">
        <w:rPr>
          <w:rFonts w:ascii="Times New Roman" w:hAnsi="Times New Roman" w:cs="Times New Roman"/>
          <w:color w:val="auto"/>
          <w:sz w:val="24"/>
          <w:szCs w:val="24"/>
        </w:rPr>
        <w:t xml:space="preserve">gobierno a cargo del Estado. </w:t>
      </w:r>
      <w:r w:rsidR="004C57EF" w:rsidRPr="007E56DA">
        <w:rPr>
          <w:rFonts w:ascii="Times New Roman" w:hAnsi="Times New Roman" w:cs="Times New Roman"/>
          <w:color w:val="auto"/>
          <w:sz w:val="24"/>
          <w:szCs w:val="24"/>
        </w:rPr>
        <w:t xml:space="preserve">En ambos casos, el acercamiento y afinidad </w:t>
      </w:r>
      <w:r w:rsidR="00F35D42" w:rsidRPr="007E56DA">
        <w:rPr>
          <w:rFonts w:ascii="Times New Roman" w:hAnsi="Times New Roman" w:cs="Times New Roman"/>
          <w:color w:val="auto"/>
          <w:sz w:val="24"/>
          <w:szCs w:val="24"/>
        </w:rPr>
        <w:t>abrió camino a</w:t>
      </w:r>
      <w:r w:rsidR="004C57EF" w:rsidRPr="007E56DA">
        <w:rPr>
          <w:rFonts w:ascii="Times New Roman" w:hAnsi="Times New Roman" w:cs="Times New Roman"/>
          <w:color w:val="auto"/>
          <w:sz w:val="24"/>
          <w:szCs w:val="24"/>
        </w:rPr>
        <w:t xml:space="preserve"> favor de sus intereses particulares</w:t>
      </w:r>
      <w:r w:rsidR="00F35D42" w:rsidRPr="007E56DA">
        <w:rPr>
          <w:rFonts w:ascii="Times New Roman" w:hAnsi="Times New Roman" w:cs="Times New Roman"/>
          <w:color w:val="auto"/>
          <w:sz w:val="24"/>
          <w:szCs w:val="24"/>
        </w:rPr>
        <w:t>, si bien en el caso de la AJL se puede reconocer que también costó las críticas por parte de quienes la vincularon al partido del</w:t>
      </w:r>
      <w:r w:rsidR="00E533B1" w:rsidRPr="007E56DA">
        <w:rPr>
          <w:rFonts w:ascii="Times New Roman" w:hAnsi="Times New Roman" w:cs="Times New Roman"/>
          <w:color w:val="auto"/>
          <w:sz w:val="24"/>
          <w:szCs w:val="24"/>
        </w:rPr>
        <w:t xml:space="preserve"> gobierno, op</w:t>
      </w:r>
      <w:r w:rsidR="00923BB1" w:rsidRPr="007E56DA">
        <w:rPr>
          <w:rFonts w:ascii="Times New Roman" w:hAnsi="Times New Roman" w:cs="Times New Roman"/>
          <w:color w:val="auto"/>
          <w:sz w:val="24"/>
          <w:szCs w:val="24"/>
        </w:rPr>
        <w:t>o</w:t>
      </w:r>
      <w:r w:rsidR="00E533B1" w:rsidRPr="007E56DA">
        <w:rPr>
          <w:rFonts w:ascii="Times New Roman" w:hAnsi="Times New Roman" w:cs="Times New Roman"/>
          <w:color w:val="auto"/>
          <w:sz w:val="24"/>
          <w:szCs w:val="24"/>
        </w:rPr>
        <w:t>niéndola a una idea de justicia neutral y objetiva.</w:t>
      </w:r>
      <w:r w:rsidR="002A73A5">
        <w:rPr>
          <w:rFonts w:ascii="Times New Roman" w:hAnsi="Times New Roman" w:cs="Times New Roman"/>
          <w:color w:val="auto"/>
          <w:sz w:val="24"/>
          <w:szCs w:val="24"/>
        </w:rPr>
        <w:t xml:space="preserve"> </w:t>
      </w:r>
      <w:r w:rsidR="00AE0AC3" w:rsidRPr="007E56DA">
        <w:rPr>
          <w:rFonts w:ascii="Times New Roman" w:hAnsi="Times New Roman" w:cs="Times New Roman"/>
          <w:color w:val="auto"/>
          <w:sz w:val="24"/>
          <w:szCs w:val="24"/>
        </w:rPr>
        <w:t xml:space="preserve">De cualquier modo, el factor político </w:t>
      </w:r>
      <w:r w:rsidR="006C6737" w:rsidRPr="007E56DA">
        <w:rPr>
          <w:rFonts w:ascii="Times New Roman" w:hAnsi="Times New Roman" w:cs="Times New Roman"/>
          <w:color w:val="auto"/>
          <w:sz w:val="24"/>
          <w:szCs w:val="24"/>
        </w:rPr>
        <w:t>fue</w:t>
      </w:r>
      <w:r w:rsidR="00AE0AC3" w:rsidRPr="007E56DA">
        <w:rPr>
          <w:rFonts w:ascii="Times New Roman" w:hAnsi="Times New Roman" w:cs="Times New Roman"/>
          <w:color w:val="auto"/>
          <w:sz w:val="24"/>
          <w:szCs w:val="24"/>
        </w:rPr>
        <w:t xml:space="preserve"> clave en ambos casos</w:t>
      </w:r>
      <w:r w:rsidR="006C6737" w:rsidRPr="007E56DA">
        <w:rPr>
          <w:rFonts w:ascii="Times New Roman" w:hAnsi="Times New Roman" w:cs="Times New Roman"/>
          <w:color w:val="auto"/>
          <w:sz w:val="24"/>
          <w:szCs w:val="24"/>
        </w:rPr>
        <w:t>. Los gobiernos de turno</w:t>
      </w:r>
      <w:r w:rsidR="002A73A5">
        <w:rPr>
          <w:rFonts w:ascii="Times New Roman" w:hAnsi="Times New Roman" w:cs="Times New Roman"/>
          <w:color w:val="auto"/>
          <w:sz w:val="24"/>
          <w:szCs w:val="24"/>
        </w:rPr>
        <w:t xml:space="preserve"> </w:t>
      </w:r>
      <w:r w:rsidR="006C6737" w:rsidRPr="007E56DA">
        <w:rPr>
          <w:rFonts w:ascii="Times New Roman" w:hAnsi="Times New Roman" w:cs="Times New Roman"/>
          <w:color w:val="auto"/>
          <w:sz w:val="24"/>
          <w:szCs w:val="24"/>
        </w:rPr>
        <w:t xml:space="preserve">habrían </w:t>
      </w:r>
      <w:r w:rsidR="00AE0AC3" w:rsidRPr="007E56DA">
        <w:rPr>
          <w:rFonts w:ascii="Times New Roman" w:hAnsi="Times New Roman" w:cs="Times New Roman"/>
          <w:color w:val="auto"/>
          <w:sz w:val="24"/>
          <w:szCs w:val="24"/>
        </w:rPr>
        <w:t>advertido la posibilidad de fortalecer su propio capital político al atender aquello que era construido como un fuerte reclamo social.</w:t>
      </w:r>
    </w:p>
    <w:p w:rsidR="00262ADE" w:rsidRPr="007E56DA" w:rsidRDefault="004C57EF" w:rsidP="00151D45">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Por otra parte, también se identificó como </w:t>
      </w:r>
      <w:r w:rsidR="00DB5218" w:rsidRPr="007E56DA">
        <w:rPr>
          <w:rFonts w:ascii="Times New Roman" w:hAnsi="Times New Roman" w:cs="Times New Roman"/>
          <w:color w:val="auto"/>
          <w:sz w:val="24"/>
          <w:szCs w:val="24"/>
        </w:rPr>
        <w:t xml:space="preserve">rasgo común de ambos sistemas de relaciones </w:t>
      </w:r>
      <w:r w:rsidRPr="007E56DA">
        <w:rPr>
          <w:rFonts w:ascii="Times New Roman" w:hAnsi="Times New Roman" w:cs="Times New Roman"/>
          <w:color w:val="auto"/>
          <w:sz w:val="24"/>
          <w:szCs w:val="24"/>
        </w:rPr>
        <w:t>el apoyo y reconocimiento recibidos por parte de otras organizaciones sociales y hasta</w:t>
      </w:r>
      <w:r w:rsidR="00DB5218" w:rsidRPr="007E56DA">
        <w:rPr>
          <w:rFonts w:ascii="Times New Roman" w:hAnsi="Times New Roman" w:cs="Times New Roman"/>
          <w:color w:val="auto"/>
          <w:sz w:val="24"/>
          <w:szCs w:val="24"/>
        </w:rPr>
        <w:t xml:space="preserve"> –en el caso de la FMA- de</w:t>
      </w:r>
      <w:r w:rsidRPr="007E56DA">
        <w:rPr>
          <w:rFonts w:ascii="Times New Roman" w:hAnsi="Times New Roman" w:cs="Times New Roman"/>
          <w:color w:val="auto"/>
          <w:sz w:val="24"/>
          <w:szCs w:val="24"/>
        </w:rPr>
        <w:t xml:space="preserve"> organismos internacionales</w:t>
      </w:r>
      <w:r w:rsidR="006D1879" w:rsidRPr="007E56DA">
        <w:rPr>
          <w:rFonts w:ascii="Times New Roman" w:hAnsi="Times New Roman" w:cs="Times New Roman"/>
          <w:color w:val="auto"/>
          <w:sz w:val="24"/>
          <w:szCs w:val="24"/>
        </w:rPr>
        <w:t xml:space="preserve">; todo lo cual </w:t>
      </w:r>
      <w:r w:rsidR="005406F1" w:rsidRPr="007E56DA">
        <w:rPr>
          <w:rFonts w:ascii="Times New Roman" w:hAnsi="Times New Roman" w:cs="Times New Roman"/>
          <w:color w:val="auto"/>
          <w:sz w:val="24"/>
          <w:szCs w:val="24"/>
        </w:rPr>
        <w:t>implicó</w:t>
      </w:r>
      <w:r w:rsidR="002A73A5">
        <w:rPr>
          <w:rFonts w:ascii="Times New Roman" w:hAnsi="Times New Roman" w:cs="Times New Roman"/>
          <w:color w:val="auto"/>
          <w:sz w:val="24"/>
          <w:szCs w:val="24"/>
        </w:rPr>
        <w:t xml:space="preserve"> </w:t>
      </w:r>
      <w:r w:rsidR="00610AE2" w:rsidRPr="007E56DA">
        <w:rPr>
          <w:rFonts w:ascii="Times New Roman" w:hAnsi="Times New Roman" w:cs="Times New Roman"/>
          <w:color w:val="auto"/>
          <w:sz w:val="24"/>
          <w:szCs w:val="24"/>
        </w:rPr>
        <w:t xml:space="preserve">la mejora </w:t>
      </w:r>
      <w:r w:rsidR="006D1879" w:rsidRPr="007E56DA">
        <w:rPr>
          <w:rFonts w:ascii="Times New Roman" w:hAnsi="Times New Roman" w:cs="Times New Roman"/>
          <w:color w:val="auto"/>
          <w:sz w:val="24"/>
          <w:szCs w:val="24"/>
        </w:rPr>
        <w:t xml:space="preserve">de sus </w:t>
      </w:r>
      <w:r w:rsidR="00E670D2" w:rsidRPr="007E56DA">
        <w:rPr>
          <w:rFonts w:ascii="Times New Roman" w:hAnsi="Times New Roman" w:cs="Times New Roman"/>
          <w:color w:val="auto"/>
          <w:sz w:val="24"/>
          <w:szCs w:val="24"/>
        </w:rPr>
        <w:t xml:space="preserve">competencias y el consecuente incremento de sus </w:t>
      </w:r>
      <w:r w:rsidR="006D1879" w:rsidRPr="007E56DA">
        <w:rPr>
          <w:rFonts w:ascii="Times New Roman" w:hAnsi="Times New Roman" w:cs="Times New Roman"/>
          <w:color w:val="auto"/>
          <w:sz w:val="24"/>
          <w:szCs w:val="24"/>
        </w:rPr>
        <w:t xml:space="preserve">posibilidades de incidencia. </w:t>
      </w:r>
    </w:p>
    <w:p w:rsidR="006D1879" w:rsidRPr="007E56DA" w:rsidRDefault="006D1879" w:rsidP="00151D45">
      <w:pPr>
        <w:pStyle w:val="Normal1"/>
        <w:spacing w:after="0" w:line="360" w:lineRule="auto"/>
        <w:jc w:val="both"/>
        <w:rPr>
          <w:rFonts w:ascii="Times New Roman" w:hAnsi="Times New Roman" w:cs="Times New Roman"/>
          <w:color w:val="auto"/>
          <w:sz w:val="24"/>
          <w:szCs w:val="24"/>
        </w:rPr>
      </w:pPr>
    </w:p>
    <w:p w:rsidR="002010B0" w:rsidRPr="007E56DA" w:rsidRDefault="002010B0" w:rsidP="00720F81">
      <w:pPr>
        <w:pStyle w:val="Normal1"/>
        <w:numPr>
          <w:ilvl w:val="0"/>
          <w:numId w:val="4"/>
        </w:numPr>
        <w:spacing w:after="0" w:line="360" w:lineRule="auto"/>
        <w:ind w:left="0" w:firstLine="0"/>
        <w:jc w:val="both"/>
        <w:rPr>
          <w:rFonts w:ascii="Times New Roman" w:eastAsia="Arial" w:hAnsi="Times New Roman" w:cs="Times New Roman"/>
          <w:b/>
          <w:color w:val="auto"/>
          <w:sz w:val="24"/>
          <w:szCs w:val="24"/>
        </w:rPr>
      </w:pPr>
      <w:r w:rsidRPr="007E56DA">
        <w:rPr>
          <w:rFonts w:ascii="Times New Roman" w:eastAsia="Arial" w:hAnsi="Times New Roman" w:cs="Times New Roman"/>
          <w:b/>
          <w:color w:val="auto"/>
          <w:sz w:val="24"/>
          <w:szCs w:val="24"/>
        </w:rPr>
        <w:lastRenderedPageBreak/>
        <w:t>Las condiciones de aceptabilidad de los reclamos</w:t>
      </w:r>
    </w:p>
    <w:p w:rsidR="002010B0" w:rsidRPr="007E56DA" w:rsidRDefault="002010B0" w:rsidP="00CE76F0">
      <w:pPr>
        <w:pStyle w:val="Normal1"/>
        <w:spacing w:after="0" w:line="360" w:lineRule="auto"/>
        <w:contextualSpacing/>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En esta sección caracterizamos las particulares condiciones en las que los reclamos de ambas OSC se desplegaron. Tales condiciones incidieron en la definición de la aceptabilidad pública de sus reclamos.</w:t>
      </w:r>
    </w:p>
    <w:p w:rsidR="002010B0" w:rsidRPr="007E56DA" w:rsidRDefault="002010B0" w:rsidP="00CE76F0">
      <w:pPr>
        <w:pStyle w:val="Normal1"/>
        <w:spacing w:after="0" w:line="360" w:lineRule="auto"/>
        <w:contextualSpacing/>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A treinta años de democracia en Argentina, se reinstaló a fines de 2012 un nuevo debate sobre democratización de la justicia, en un proceso de gran visibilidad mediática. Además de otras cuestiones estructurales e históricas, que preexisten a la coyuntura política y que deben ser tenidas en consideración, Bercholc (2013) nos permite señalar “distintos disparadores que han motivado al gobierno en la propuesta de la reforma judicial. La demora en la resolución judicial del conflicto con el Grupo Clarín y, por ende, el estado de virtual ‘suspensión’ de la ley de servicios audiovisuales</w:t>
      </w:r>
      <w:r w:rsidRPr="007E56DA">
        <w:rPr>
          <w:rFonts w:ascii="Times New Roman" w:eastAsia="Arial" w:hAnsi="Times New Roman" w:cs="Times New Roman"/>
          <w:color w:val="auto"/>
          <w:sz w:val="24"/>
          <w:szCs w:val="24"/>
          <w:vertAlign w:val="superscript"/>
        </w:rPr>
        <w:footnoteReference w:id="46"/>
      </w:r>
      <w:r w:rsidRPr="007E56DA">
        <w:rPr>
          <w:rFonts w:ascii="Times New Roman" w:eastAsia="Arial" w:hAnsi="Times New Roman" w:cs="Times New Roman"/>
          <w:color w:val="auto"/>
          <w:sz w:val="24"/>
          <w:szCs w:val="24"/>
        </w:rPr>
        <w:t xml:space="preserve">; la parálisis en la que se encuentra el Consejo de la Magistratura generando una demora inusitada en el proceso de designación de jueces y la consecuencia de un hecho gravísimo, la enorme cantidad de juzgados de distintos fueros que carecen de juez titular y se hallan ocupados por jueces subrogantes y/o interinos o por secretarios de los juzgados; y las demoras también excesivas en el avance de los procesos por violación de los derechos humanos en ocasión de la represión del terrorismo de Estado (…)”. </w:t>
      </w:r>
    </w:p>
    <w:p w:rsidR="00751526" w:rsidRPr="007E56DA" w:rsidRDefault="00751526" w:rsidP="00751526">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En este proceso en el que la justicia se cuestiona a sí misma, se convoca también a otros sectores históricamente aislados de estos debates, al tiempo que se ponen a la vista escisiones y disputas al interior del mismo Poder Judicial y sus relaciones con los poderes económicos</w:t>
      </w:r>
      <w:r w:rsidRPr="007E56DA">
        <w:rPr>
          <w:rFonts w:ascii="Times New Roman" w:eastAsia="Arial" w:hAnsi="Times New Roman" w:cs="Times New Roman"/>
          <w:color w:val="auto"/>
          <w:sz w:val="24"/>
          <w:szCs w:val="24"/>
          <w:vertAlign w:val="superscript"/>
        </w:rPr>
        <w:footnoteReference w:id="47"/>
      </w:r>
      <w:r w:rsidRPr="007E56DA">
        <w:rPr>
          <w:rFonts w:ascii="Times New Roman" w:eastAsia="Arial" w:hAnsi="Times New Roman" w:cs="Times New Roman"/>
          <w:color w:val="auto"/>
          <w:sz w:val="24"/>
          <w:szCs w:val="24"/>
        </w:rPr>
        <w:t>.</w:t>
      </w:r>
    </w:p>
    <w:p w:rsidR="007A31B0" w:rsidRPr="007E56DA" w:rsidRDefault="007A31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Al</w:t>
      </w:r>
      <w:r w:rsidR="002010B0" w:rsidRPr="007E56DA">
        <w:rPr>
          <w:rFonts w:ascii="Times New Roman" w:eastAsia="Arial" w:hAnsi="Times New Roman" w:cs="Times New Roman"/>
          <w:color w:val="auto"/>
          <w:sz w:val="24"/>
          <w:szCs w:val="24"/>
        </w:rPr>
        <w:t xml:space="preserve"> panorama esbozado aquí, </w:t>
      </w:r>
      <w:r w:rsidRPr="007E56DA">
        <w:rPr>
          <w:rFonts w:ascii="Times New Roman" w:eastAsia="Arial" w:hAnsi="Times New Roman" w:cs="Times New Roman"/>
          <w:color w:val="auto"/>
          <w:sz w:val="24"/>
          <w:szCs w:val="24"/>
        </w:rPr>
        <w:t xml:space="preserve">es preciso añadir </w:t>
      </w:r>
      <w:r w:rsidR="003435FF" w:rsidRPr="007E56DA">
        <w:rPr>
          <w:rFonts w:ascii="Times New Roman" w:eastAsia="Arial" w:hAnsi="Times New Roman" w:cs="Times New Roman"/>
          <w:color w:val="auto"/>
          <w:sz w:val="24"/>
          <w:szCs w:val="24"/>
        </w:rPr>
        <w:t>el repudio social con movilizaciones en ciudades de todo el país, que provocó el</w:t>
      </w:r>
      <w:r w:rsidR="002010B0" w:rsidRPr="007E56DA">
        <w:rPr>
          <w:rFonts w:ascii="Times New Roman" w:eastAsia="Arial" w:hAnsi="Times New Roman" w:cs="Times New Roman"/>
          <w:color w:val="auto"/>
          <w:sz w:val="24"/>
          <w:szCs w:val="24"/>
        </w:rPr>
        <w:t xml:space="preserve"> polémico fallo de la justicia tucumana por la </w:t>
      </w:r>
      <w:r w:rsidR="002010B0" w:rsidRPr="007E56DA">
        <w:rPr>
          <w:rFonts w:ascii="Times New Roman" w:eastAsia="Arial" w:hAnsi="Times New Roman" w:cs="Times New Roman"/>
          <w:color w:val="auto"/>
          <w:sz w:val="24"/>
          <w:szCs w:val="24"/>
        </w:rPr>
        <w:lastRenderedPageBreak/>
        <w:t>desaparición de Marita Verón</w:t>
      </w:r>
      <w:r w:rsidR="002010B0" w:rsidRPr="007E56DA">
        <w:rPr>
          <w:rFonts w:ascii="Times New Roman" w:eastAsia="Arial" w:hAnsi="Times New Roman" w:cs="Times New Roman"/>
          <w:color w:val="auto"/>
          <w:sz w:val="24"/>
          <w:szCs w:val="24"/>
          <w:vertAlign w:val="superscript"/>
        </w:rPr>
        <w:footnoteReference w:id="48"/>
      </w:r>
      <w:r w:rsidRPr="007E56DA">
        <w:rPr>
          <w:rFonts w:ascii="Times New Roman" w:eastAsia="Arial" w:hAnsi="Times New Roman" w:cs="Times New Roman"/>
          <w:color w:val="auto"/>
          <w:sz w:val="24"/>
          <w:szCs w:val="24"/>
        </w:rPr>
        <w:t xml:space="preserve">. </w:t>
      </w:r>
      <w:r w:rsidRPr="007E56DA">
        <w:rPr>
          <w:rFonts w:ascii="Times New Roman" w:hAnsi="Times New Roman" w:cs="Times New Roman"/>
          <w:color w:val="auto"/>
          <w:sz w:val="24"/>
          <w:szCs w:val="24"/>
        </w:rPr>
        <w:t>Acuña sostiene que, dada la complejidad involucrada en este tipo de instituciones, resulta esperable que ciertos procesos tales como una crisis con movilización de la ciudadanía, constituya un incentivo para una reforma (2002, citado en Rubial, 2008: 729).</w:t>
      </w:r>
      <w:r w:rsidRPr="007E56DA">
        <w:rPr>
          <w:rFonts w:ascii="Times New Roman" w:eastAsia="Arial" w:hAnsi="Times New Roman" w:cs="Times New Roman"/>
          <w:color w:val="auto"/>
          <w:sz w:val="24"/>
          <w:szCs w:val="24"/>
        </w:rPr>
        <w:t>La absolución de todos los acusados en el juicio</w:t>
      </w:r>
      <w:r w:rsidR="00EE288A" w:rsidRPr="007E56DA">
        <w:rPr>
          <w:rFonts w:ascii="Times New Roman" w:eastAsia="Arial" w:hAnsi="Times New Roman" w:cs="Times New Roman"/>
          <w:color w:val="auto"/>
          <w:sz w:val="24"/>
          <w:szCs w:val="24"/>
        </w:rPr>
        <w:t xml:space="preserve">, </w:t>
      </w:r>
      <w:r w:rsidR="002010B0" w:rsidRPr="007E56DA">
        <w:rPr>
          <w:rFonts w:ascii="Times New Roman" w:eastAsia="Arial" w:hAnsi="Times New Roman" w:cs="Times New Roman"/>
          <w:color w:val="auto"/>
          <w:sz w:val="24"/>
          <w:szCs w:val="24"/>
        </w:rPr>
        <w:t xml:space="preserve">terminó confluyendo en definir un marco propicio para poner en la agenda pública la discusión acerca de qué organización judicial y qué tipo de jueces serían más deseables para una sociedad democrática. </w:t>
      </w:r>
    </w:p>
    <w:p w:rsidR="00751526" w:rsidRPr="007E56DA" w:rsidRDefault="00751526" w:rsidP="00751526">
      <w:pPr>
        <w:autoSpaceDE w:val="0"/>
        <w:autoSpaceDN w:val="0"/>
        <w:adjustRightInd w:val="0"/>
        <w:spacing w:after="0" w:line="360" w:lineRule="auto"/>
        <w:contextualSpacing/>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Específicamente, entre los abordajes más recientes de la incidencia de la sociedad civil en reformas judiciales, se destaca el trabajo de Rubial sobre el proceso de reformas a la Corte Suprema de Justicia de la Nación argentina (CSJN) iniciado en 2003. Rubial muestra que la movilización social junto con la acción de organizaciones civiles; constituyó un factor clave de las condiciones en las que el Poder Ejecutivo inició ese proceso de reforma, y también del contenido y la forma de los cambios realizados. Se trató de un momento en el que el gobierno nacional procuró acercarse a las organizaciones que en ese momento bregaban por incidir en los debates y en las leyes. Las reformas implementadas por la Corte Suprema fueron propuestas por diversas asociaciones de la sociedad civil estableciéndose formas de relación que no habían tenido lugar hasta ese momento en el país (2008: 739)</w:t>
      </w:r>
      <w:r w:rsidRPr="007E56DA">
        <w:rPr>
          <w:rFonts w:ascii="Times New Roman" w:eastAsia="Arial" w:hAnsi="Times New Roman" w:cs="Times New Roman"/>
          <w:color w:val="auto"/>
          <w:sz w:val="24"/>
          <w:szCs w:val="24"/>
          <w:vertAlign w:val="superscript"/>
        </w:rPr>
        <w:footnoteReference w:id="49"/>
      </w:r>
      <w:r w:rsidRPr="007E56DA">
        <w:rPr>
          <w:rFonts w:ascii="Times New Roman" w:eastAsia="Arial" w:hAnsi="Times New Roman" w:cs="Times New Roman"/>
          <w:color w:val="auto"/>
          <w:sz w:val="24"/>
          <w:szCs w:val="24"/>
        </w:rPr>
        <w:t>.</w:t>
      </w:r>
    </w:p>
    <w:p w:rsidR="00324FC8" w:rsidRPr="007E56DA" w:rsidRDefault="00324FC8" w:rsidP="0065650C">
      <w:pPr>
        <w:pStyle w:val="Normal1"/>
        <w:spacing w:after="0" w:line="360" w:lineRule="auto"/>
        <w:jc w:val="both"/>
        <w:rPr>
          <w:rFonts w:ascii="Times New Roman" w:eastAsia="Arial" w:hAnsi="Times New Roman" w:cs="Times New Roman"/>
          <w:color w:val="auto"/>
          <w:sz w:val="24"/>
          <w:szCs w:val="24"/>
        </w:rPr>
      </w:pPr>
    </w:p>
    <w:p w:rsidR="008D787B" w:rsidRPr="007E56DA" w:rsidRDefault="00EE288A"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Por otro lado, l</w:t>
      </w:r>
      <w:r w:rsidR="002010B0" w:rsidRPr="007E56DA">
        <w:rPr>
          <w:rFonts w:ascii="Times New Roman" w:eastAsia="Arial" w:hAnsi="Times New Roman" w:cs="Times New Roman"/>
          <w:color w:val="auto"/>
          <w:sz w:val="24"/>
          <w:szCs w:val="24"/>
        </w:rPr>
        <w:t xml:space="preserve">os primeros antecedentes legislativos sobre Trata de personas con fines de </w:t>
      </w:r>
      <w:r w:rsidR="00751526" w:rsidRPr="007E56DA">
        <w:rPr>
          <w:rFonts w:ascii="Times New Roman" w:eastAsia="Arial" w:hAnsi="Times New Roman" w:cs="Times New Roman"/>
          <w:color w:val="auto"/>
          <w:sz w:val="24"/>
          <w:szCs w:val="24"/>
        </w:rPr>
        <w:t>explotación</w:t>
      </w:r>
      <w:r w:rsidR="002010B0" w:rsidRPr="007E56DA">
        <w:rPr>
          <w:rFonts w:ascii="Times New Roman" w:eastAsia="Arial" w:hAnsi="Times New Roman" w:cs="Times New Roman"/>
          <w:color w:val="auto"/>
          <w:sz w:val="24"/>
          <w:szCs w:val="24"/>
        </w:rPr>
        <w:t xml:space="preserve"> sexual pueden rastrearse en Argentina </w:t>
      </w:r>
      <w:r w:rsidR="00751526" w:rsidRPr="007E56DA">
        <w:rPr>
          <w:rFonts w:ascii="Times New Roman" w:eastAsia="Arial" w:hAnsi="Times New Roman" w:cs="Times New Roman"/>
          <w:color w:val="auto"/>
          <w:sz w:val="24"/>
          <w:szCs w:val="24"/>
        </w:rPr>
        <w:t>a partir d</w:t>
      </w:r>
      <w:r w:rsidR="002010B0" w:rsidRPr="007E56DA">
        <w:rPr>
          <w:rFonts w:ascii="Times New Roman" w:eastAsia="Arial" w:hAnsi="Times New Roman" w:cs="Times New Roman"/>
          <w:color w:val="auto"/>
          <w:sz w:val="24"/>
          <w:szCs w:val="24"/>
        </w:rPr>
        <w:t xml:space="preserve">el año 1787 cuando se legisló la Trata de Blancas. Se trataba de una ley que reglamentaba la </w:t>
      </w:r>
      <w:r w:rsidR="00751526" w:rsidRPr="007E56DA">
        <w:rPr>
          <w:rFonts w:ascii="Times New Roman" w:eastAsia="Arial" w:hAnsi="Times New Roman" w:cs="Times New Roman"/>
          <w:color w:val="auto"/>
          <w:sz w:val="24"/>
          <w:szCs w:val="24"/>
        </w:rPr>
        <w:t>prostitución</w:t>
      </w:r>
      <w:r w:rsidR="002010B0" w:rsidRPr="007E56DA">
        <w:rPr>
          <w:rFonts w:ascii="Times New Roman" w:eastAsia="Arial" w:hAnsi="Times New Roman" w:cs="Times New Roman"/>
          <w:color w:val="auto"/>
          <w:sz w:val="24"/>
          <w:szCs w:val="24"/>
        </w:rPr>
        <w:t xml:space="preserve"> en Buenos Aires. Surgieron entonces las primeras redes de trata de personas y con ello, el mercado</w:t>
      </w:r>
      <w:r w:rsidR="002A73A5">
        <w:rPr>
          <w:rFonts w:ascii="Times New Roman" w:eastAsia="Arial" w:hAnsi="Times New Roman" w:cs="Times New Roman"/>
          <w:color w:val="auto"/>
          <w:sz w:val="24"/>
          <w:szCs w:val="24"/>
        </w:rPr>
        <w:t xml:space="preserve"> </w:t>
      </w:r>
      <w:r w:rsidR="002010B0" w:rsidRPr="007E56DA">
        <w:rPr>
          <w:rFonts w:ascii="Times New Roman" w:eastAsia="Arial" w:hAnsi="Times New Roman" w:cs="Times New Roman"/>
          <w:color w:val="auto"/>
          <w:sz w:val="24"/>
          <w:szCs w:val="24"/>
        </w:rPr>
        <w:t xml:space="preserve">de </w:t>
      </w:r>
      <w:r w:rsidR="00751526" w:rsidRPr="007E56DA">
        <w:rPr>
          <w:rFonts w:ascii="Times New Roman" w:eastAsia="Arial" w:hAnsi="Times New Roman" w:cs="Times New Roman"/>
          <w:color w:val="auto"/>
          <w:sz w:val="24"/>
          <w:szCs w:val="24"/>
        </w:rPr>
        <w:t>explotación</w:t>
      </w:r>
      <w:r w:rsidR="002010B0" w:rsidRPr="007E56DA">
        <w:rPr>
          <w:rFonts w:ascii="Times New Roman" w:eastAsia="Arial" w:hAnsi="Times New Roman" w:cs="Times New Roman"/>
          <w:color w:val="auto"/>
          <w:sz w:val="24"/>
          <w:szCs w:val="24"/>
        </w:rPr>
        <w:t xml:space="preserve"> sexual. Posteriormente, se pueden mencionar la ley de profilaxis Ley N° 12.331</w:t>
      </w:r>
      <w:r w:rsidR="008D787B" w:rsidRPr="007E56DA">
        <w:rPr>
          <w:rFonts w:ascii="Times New Roman" w:eastAsia="Arial" w:hAnsi="Times New Roman" w:cs="Times New Roman"/>
          <w:color w:val="auto"/>
          <w:sz w:val="24"/>
          <w:szCs w:val="24"/>
        </w:rPr>
        <w:t xml:space="preserve"> en 1936 </w:t>
      </w:r>
      <w:r w:rsidR="002010B0" w:rsidRPr="007E56DA">
        <w:rPr>
          <w:rFonts w:ascii="Times New Roman" w:eastAsia="Arial" w:hAnsi="Times New Roman" w:cs="Times New Roman"/>
          <w:color w:val="auto"/>
          <w:sz w:val="24"/>
          <w:szCs w:val="24"/>
        </w:rPr>
        <w:t>y la ley 16.666 sobre ejercicio d</w:t>
      </w:r>
      <w:r w:rsidR="008D787B" w:rsidRPr="007E56DA">
        <w:rPr>
          <w:rFonts w:ascii="Times New Roman" w:eastAsia="Arial" w:hAnsi="Times New Roman" w:cs="Times New Roman"/>
          <w:color w:val="auto"/>
          <w:sz w:val="24"/>
          <w:szCs w:val="24"/>
        </w:rPr>
        <w:t xml:space="preserve">e la </w:t>
      </w:r>
      <w:r w:rsidR="00751526" w:rsidRPr="007E56DA">
        <w:rPr>
          <w:rFonts w:ascii="Times New Roman" w:eastAsia="Arial" w:hAnsi="Times New Roman" w:cs="Times New Roman"/>
          <w:color w:val="auto"/>
          <w:sz w:val="24"/>
          <w:szCs w:val="24"/>
        </w:rPr>
        <w:t>prostitución</w:t>
      </w:r>
      <w:r w:rsidR="008D787B" w:rsidRPr="007E56DA">
        <w:rPr>
          <w:rFonts w:ascii="Times New Roman" w:eastAsia="Arial" w:hAnsi="Times New Roman" w:cs="Times New Roman"/>
          <w:color w:val="auto"/>
          <w:sz w:val="24"/>
          <w:szCs w:val="24"/>
        </w:rPr>
        <w:t xml:space="preserve"> del año 1965</w:t>
      </w:r>
      <w:r w:rsidR="002010B0" w:rsidRPr="007E56DA">
        <w:rPr>
          <w:rFonts w:ascii="Times New Roman" w:eastAsia="Arial" w:hAnsi="Times New Roman" w:cs="Times New Roman"/>
          <w:color w:val="auto"/>
          <w:sz w:val="24"/>
          <w:szCs w:val="24"/>
        </w:rPr>
        <w:t>. Además, Argentina ad</w:t>
      </w:r>
      <w:r w:rsidR="008D787B" w:rsidRPr="007E56DA">
        <w:rPr>
          <w:rFonts w:ascii="Times New Roman" w:eastAsia="Arial" w:hAnsi="Times New Roman" w:cs="Times New Roman"/>
          <w:color w:val="auto"/>
          <w:sz w:val="24"/>
          <w:szCs w:val="24"/>
        </w:rPr>
        <w:t xml:space="preserve">hirió a dos acuerdos internacionales </w:t>
      </w:r>
      <w:r w:rsidR="002010B0" w:rsidRPr="007E56DA">
        <w:rPr>
          <w:rFonts w:ascii="Times New Roman" w:eastAsia="Arial" w:hAnsi="Times New Roman" w:cs="Times New Roman"/>
          <w:color w:val="auto"/>
          <w:sz w:val="24"/>
          <w:szCs w:val="24"/>
        </w:rPr>
        <w:t xml:space="preserve">contra la Trata de </w:t>
      </w:r>
      <w:r w:rsidR="002010B0" w:rsidRPr="007E56DA">
        <w:rPr>
          <w:rFonts w:ascii="Times New Roman" w:eastAsia="Arial" w:hAnsi="Times New Roman" w:cs="Times New Roman"/>
          <w:color w:val="auto"/>
          <w:sz w:val="24"/>
          <w:szCs w:val="24"/>
        </w:rPr>
        <w:lastRenderedPageBreak/>
        <w:t>Personas: el Consens</w:t>
      </w:r>
      <w:r w:rsidRPr="007E56DA">
        <w:rPr>
          <w:rFonts w:ascii="Times New Roman" w:eastAsia="Arial" w:hAnsi="Times New Roman" w:cs="Times New Roman"/>
          <w:color w:val="auto"/>
          <w:sz w:val="24"/>
          <w:szCs w:val="24"/>
        </w:rPr>
        <w:t xml:space="preserve">o de Derechos Humanos de Viena </w:t>
      </w:r>
      <w:r w:rsidR="002010B0" w:rsidRPr="007E56DA">
        <w:rPr>
          <w:rFonts w:ascii="Times New Roman" w:eastAsia="Arial" w:hAnsi="Times New Roman" w:cs="Times New Roman"/>
          <w:color w:val="auto"/>
          <w:sz w:val="24"/>
          <w:szCs w:val="24"/>
        </w:rPr>
        <w:t>(1993)</w:t>
      </w:r>
      <w:r w:rsidR="002010B0" w:rsidRPr="007E56DA">
        <w:rPr>
          <w:rFonts w:ascii="Times New Roman" w:eastAsia="Arial" w:hAnsi="Times New Roman" w:cs="Times New Roman"/>
          <w:color w:val="auto"/>
          <w:sz w:val="24"/>
          <w:szCs w:val="24"/>
          <w:vertAlign w:val="superscript"/>
        </w:rPr>
        <w:footnoteReference w:id="50"/>
      </w:r>
      <w:r w:rsidR="002010B0" w:rsidRPr="007E56DA">
        <w:rPr>
          <w:rFonts w:ascii="Times New Roman" w:eastAsia="Arial" w:hAnsi="Times New Roman" w:cs="Times New Roman"/>
          <w:color w:val="auto"/>
          <w:sz w:val="24"/>
          <w:szCs w:val="24"/>
        </w:rPr>
        <w:t xml:space="preserve"> y el p</w:t>
      </w:r>
      <w:r w:rsidR="008D787B" w:rsidRPr="007E56DA">
        <w:rPr>
          <w:rFonts w:ascii="Times New Roman" w:eastAsia="Arial" w:hAnsi="Times New Roman" w:cs="Times New Roman"/>
          <w:color w:val="auto"/>
          <w:sz w:val="24"/>
          <w:szCs w:val="24"/>
        </w:rPr>
        <w:t>rotocolo de Palermo de la ONU (</w:t>
      </w:r>
      <w:r w:rsidR="002010B0" w:rsidRPr="007E56DA">
        <w:rPr>
          <w:rFonts w:ascii="Times New Roman" w:eastAsia="Arial" w:hAnsi="Times New Roman" w:cs="Times New Roman"/>
          <w:color w:val="auto"/>
          <w:sz w:val="24"/>
          <w:szCs w:val="24"/>
        </w:rPr>
        <w:t>2000)</w:t>
      </w:r>
      <w:r w:rsidR="002010B0" w:rsidRPr="007E56DA">
        <w:rPr>
          <w:rFonts w:ascii="Times New Roman" w:eastAsia="Arial" w:hAnsi="Times New Roman" w:cs="Times New Roman"/>
          <w:color w:val="auto"/>
          <w:sz w:val="24"/>
          <w:szCs w:val="24"/>
          <w:vertAlign w:val="superscript"/>
        </w:rPr>
        <w:footnoteReference w:id="51"/>
      </w:r>
      <w:r w:rsidR="002010B0" w:rsidRPr="007E56DA">
        <w:rPr>
          <w:rFonts w:ascii="Times New Roman" w:eastAsia="Arial" w:hAnsi="Times New Roman" w:cs="Times New Roman"/>
          <w:color w:val="auto"/>
          <w:sz w:val="24"/>
          <w:szCs w:val="24"/>
        </w:rPr>
        <w:t xml:space="preserve"> .Ambos consideran a la trata de personas como un delito contra el Estado de derecho. Pero hasta 2007 ninguna ley había tipificado el delito de trata de personas</w:t>
      </w:r>
      <w:r w:rsidR="008D787B" w:rsidRPr="007E56DA">
        <w:rPr>
          <w:rFonts w:ascii="Times New Roman" w:eastAsia="Arial" w:hAnsi="Times New Roman" w:cs="Times New Roman"/>
          <w:color w:val="auto"/>
          <w:sz w:val="24"/>
          <w:szCs w:val="24"/>
        </w:rPr>
        <w:t>.</w:t>
      </w:r>
    </w:p>
    <w:p w:rsidR="002010B0" w:rsidRPr="007E56DA" w:rsidRDefault="00151D45"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E</w:t>
      </w:r>
      <w:r w:rsidR="002010B0" w:rsidRPr="007E56DA">
        <w:rPr>
          <w:rFonts w:ascii="Times New Roman" w:eastAsia="Arial" w:hAnsi="Times New Roman" w:cs="Times New Roman"/>
          <w:color w:val="auto"/>
          <w:sz w:val="24"/>
          <w:szCs w:val="24"/>
        </w:rPr>
        <w:t>n el contexto en el cual Trimarco inició su lucha, y previo a la notoriedad que luego adquiriera, el binom</w:t>
      </w:r>
      <w:r w:rsidRPr="007E56DA">
        <w:rPr>
          <w:rFonts w:ascii="Times New Roman" w:eastAsia="Arial" w:hAnsi="Times New Roman" w:cs="Times New Roman"/>
          <w:color w:val="auto"/>
          <w:sz w:val="24"/>
          <w:szCs w:val="24"/>
        </w:rPr>
        <w:t>i</w:t>
      </w:r>
      <w:r w:rsidR="002010B0" w:rsidRPr="007E56DA">
        <w:rPr>
          <w:rFonts w:ascii="Times New Roman" w:eastAsia="Arial" w:hAnsi="Times New Roman" w:cs="Times New Roman"/>
          <w:color w:val="auto"/>
          <w:sz w:val="24"/>
          <w:szCs w:val="24"/>
        </w:rPr>
        <w:t>o inseguridad/seguridad dominaba el debate en la agenda mediática y política. Según datos oficiales publicados por el diario La Nación</w:t>
      </w:r>
      <w:r w:rsidR="002010B0" w:rsidRPr="007E56DA">
        <w:rPr>
          <w:rFonts w:ascii="Times New Roman" w:eastAsia="Arial" w:hAnsi="Times New Roman" w:cs="Times New Roman"/>
          <w:color w:val="auto"/>
          <w:sz w:val="24"/>
          <w:szCs w:val="24"/>
          <w:vertAlign w:val="superscript"/>
        </w:rPr>
        <w:footnoteReference w:id="52"/>
      </w:r>
      <w:r w:rsidR="002010B0" w:rsidRPr="007E56DA">
        <w:rPr>
          <w:rFonts w:ascii="Times New Roman" w:eastAsia="Arial" w:hAnsi="Times New Roman" w:cs="Times New Roman"/>
          <w:color w:val="auto"/>
          <w:sz w:val="24"/>
          <w:szCs w:val="24"/>
        </w:rPr>
        <w:t>, durante el año 2002 se había registrado la mayor cantidad de homicidios de los últimos 20 años. Para esa misma época</w:t>
      </w:r>
      <w:r w:rsidR="008D787B"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se llevó a cabo en el partido de Vicente López, Buenos Aires, el Primer Encuentro Nacional de Víctimas del Delito (2003), del cual Trimarco participó aunque su causa no era tan visible como otras, en especial, </w:t>
      </w:r>
      <w:r w:rsidR="008D787B" w:rsidRPr="007E56DA">
        <w:rPr>
          <w:rFonts w:ascii="Times New Roman" w:eastAsia="Arial" w:hAnsi="Times New Roman" w:cs="Times New Roman"/>
          <w:color w:val="auto"/>
          <w:sz w:val="24"/>
          <w:szCs w:val="24"/>
        </w:rPr>
        <w:t>la d</w:t>
      </w:r>
      <w:r w:rsidR="002010B0" w:rsidRPr="007E56DA">
        <w:rPr>
          <w:rFonts w:ascii="Times New Roman" w:eastAsia="Arial" w:hAnsi="Times New Roman" w:cs="Times New Roman"/>
          <w:color w:val="auto"/>
          <w:sz w:val="24"/>
          <w:szCs w:val="24"/>
        </w:rPr>
        <w:t>el caso Blumberg</w:t>
      </w:r>
      <w:r w:rsidR="002010B0" w:rsidRPr="007E56DA">
        <w:rPr>
          <w:rFonts w:ascii="Times New Roman" w:eastAsia="Arial" w:hAnsi="Times New Roman" w:cs="Times New Roman"/>
          <w:color w:val="auto"/>
          <w:sz w:val="24"/>
          <w:szCs w:val="24"/>
          <w:vertAlign w:val="superscript"/>
        </w:rPr>
        <w:footnoteReference w:id="53"/>
      </w:r>
      <w:r w:rsidR="002010B0" w:rsidRPr="007E56DA">
        <w:rPr>
          <w:rFonts w:ascii="Times New Roman" w:eastAsia="Arial" w:hAnsi="Times New Roman" w:cs="Times New Roman"/>
          <w:color w:val="auto"/>
          <w:sz w:val="24"/>
          <w:szCs w:val="24"/>
        </w:rPr>
        <w:t xml:space="preserve">. </w:t>
      </w:r>
    </w:p>
    <w:p w:rsidR="009C6393" w:rsidRPr="007E56DA" w:rsidRDefault="00715458"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Sin embargo, l</w:t>
      </w:r>
      <w:r w:rsidR="00B552CC" w:rsidRPr="007E56DA">
        <w:rPr>
          <w:rFonts w:ascii="Times New Roman" w:eastAsia="Arial" w:hAnsi="Times New Roman" w:cs="Times New Roman"/>
          <w:color w:val="auto"/>
          <w:sz w:val="24"/>
          <w:szCs w:val="24"/>
        </w:rPr>
        <w:t>a FMA</w:t>
      </w:r>
      <w:r w:rsidRPr="007E56DA">
        <w:rPr>
          <w:rFonts w:ascii="Times New Roman" w:eastAsia="Arial" w:hAnsi="Times New Roman" w:cs="Times New Roman"/>
          <w:color w:val="auto"/>
          <w:sz w:val="24"/>
          <w:szCs w:val="24"/>
        </w:rPr>
        <w:t xml:space="preserve"> progresivamente, incidió para que un </w:t>
      </w:r>
      <w:r w:rsidR="00B552CC" w:rsidRPr="007E56DA">
        <w:rPr>
          <w:rFonts w:ascii="Times New Roman" w:eastAsia="Arial" w:hAnsi="Times New Roman" w:cs="Times New Roman"/>
          <w:color w:val="auto"/>
          <w:sz w:val="24"/>
          <w:szCs w:val="24"/>
        </w:rPr>
        <w:t>tema históricamente aislado de los debates públicos</w:t>
      </w:r>
      <w:r w:rsidRPr="007E56DA">
        <w:rPr>
          <w:rFonts w:ascii="Times New Roman" w:eastAsia="Arial" w:hAnsi="Times New Roman" w:cs="Times New Roman"/>
          <w:color w:val="auto"/>
          <w:sz w:val="24"/>
          <w:szCs w:val="24"/>
        </w:rPr>
        <w:t xml:space="preserve"> cobrara relevancia</w:t>
      </w:r>
      <w:r w:rsidR="00B552CC" w:rsidRPr="007E56DA">
        <w:rPr>
          <w:rFonts w:ascii="Times New Roman" w:eastAsia="Arial" w:hAnsi="Times New Roman" w:cs="Times New Roman"/>
          <w:color w:val="auto"/>
          <w:sz w:val="24"/>
          <w:szCs w:val="24"/>
          <w:vertAlign w:val="superscript"/>
        </w:rPr>
        <w:footnoteReference w:id="54"/>
      </w:r>
      <w:r w:rsidR="00B552CC"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La FMA fue constituyéndose como un referente </w:t>
      </w:r>
      <w:r w:rsidR="00B552CC" w:rsidRPr="007E56DA">
        <w:rPr>
          <w:rFonts w:ascii="Times New Roman" w:eastAsia="Arial" w:hAnsi="Times New Roman" w:cs="Times New Roman"/>
          <w:color w:val="auto"/>
          <w:sz w:val="24"/>
          <w:szCs w:val="24"/>
        </w:rPr>
        <w:t xml:space="preserve">en el tema a partir del entramado de relaciones que estableció con actores </w:t>
      </w:r>
      <w:r w:rsidR="009C5DCF" w:rsidRPr="007E56DA">
        <w:rPr>
          <w:rFonts w:ascii="Times New Roman" w:eastAsia="Arial" w:hAnsi="Times New Roman" w:cs="Times New Roman"/>
          <w:color w:val="auto"/>
          <w:sz w:val="24"/>
          <w:szCs w:val="24"/>
        </w:rPr>
        <w:t>sociales con</w:t>
      </w:r>
      <w:r w:rsidR="00B552CC" w:rsidRPr="007E56DA">
        <w:rPr>
          <w:rFonts w:ascii="Times New Roman" w:eastAsia="Arial" w:hAnsi="Times New Roman" w:cs="Times New Roman"/>
          <w:color w:val="auto"/>
          <w:sz w:val="24"/>
          <w:szCs w:val="24"/>
        </w:rPr>
        <w:t xml:space="preserve"> mayor poder relativo en otros espacios de relación, lo cual le permitió incidir en la producción </w:t>
      </w:r>
      <w:r w:rsidR="002010B0" w:rsidRPr="007E56DA">
        <w:rPr>
          <w:rFonts w:ascii="Times New Roman" w:eastAsia="Arial" w:hAnsi="Times New Roman" w:cs="Times New Roman"/>
          <w:color w:val="auto"/>
          <w:sz w:val="24"/>
          <w:szCs w:val="24"/>
        </w:rPr>
        <w:t xml:space="preserve">conjunta </w:t>
      </w:r>
      <w:r w:rsidR="00B552CC" w:rsidRPr="007E56DA">
        <w:rPr>
          <w:rFonts w:ascii="Times New Roman" w:eastAsia="Arial" w:hAnsi="Times New Roman" w:cs="Times New Roman"/>
          <w:color w:val="auto"/>
          <w:sz w:val="24"/>
          <w:szCs w:val="24"/>
        </w:rPr>
        <w:t xml:space="preserve">de </w:t>
      </w:r>
      <w:r w:rsidR="002010B0" w:rsidRPr="007E56DA">
        <w:rPr>
          <w:rFonts w:ascii="Times New Roman" w:eastAsia="Arial" w:hAnsi="Times New Roman" w:cs="Times New Roman"/>
          <w:color w:val="auto"/>
          <w:sz w:val="24"/>
          <w:szCs w:val="24"/>
        </w:rPr>
        <w:t>información relevante</w:t>
      </w:r>
      <w:r w:rsidR="00B552CC" w:rsidRPr="007E56DA">
        <w:rPr>
          <w:rFonts w:ascii="Times New Roman" w:eastAsia="Arial" w:hAnsi="Times New Roman" w:cs="Times New Roman"/>
          <w:color w:val="auto"/>
          <w:sz w:val="24"/>
          <w:szCs w:val="24"/>
        </w:rPr>
        <w:t>.</w:t>
      </w:r>
      <w:r w:rsidR="002010B0" w:rsidRPr="007E56DA">
        <w:rPr>
          <w:rFonts w:ascii="Times New Roman" w:eastAsia="Arial" w:hAnsi="Times New Roman" w:cs="Times New Roman"/>
          <w:color w:val="auto"/>
          <w:sz w:val="24"/>
          <w:szCs w:val="24"/>
        </w:rPr>
        <w:t xml:space="preserve"> Un ejemplo de ello son las investigaciones en las que participó en Argentina y en el exterior</w:t>
      </w:r>
      <w:r w:rsidR="00B552CC" w:rsidRPr="007E56DA">
        <w:rPr>
          <w:rFonts w:ascii="Times New Roman" w:eastAsia="Arial" w:hAnsi="Times New Roman" w:cs="Times New Roman"/>
          <w:color w:val="auto"/>
          <w:sz w:val="24"/>
          <w:szCs w:val="24"/>
          <w:vertAlign w:val="superscript"/>
        </w:rPr>
        <w:footnoteReference w:id="55"/>
      </w:r>
      <w:r w:rsidR="00B552CC" w:rsidRPr="007E56DA">
        <w:rPr>
          <w:rFonts w:ascii="Times New Roman" w:eastAsia="Arial" w:hAnsi="Times New Roman" w:cs="Times New Roman"/>
          <w:color w:val="auto"/>
          <w:sz w:val="24"/>
          <w:szCs w:val="24"/>
        </w:rPr>
        <w:t xml:space="preserve">. </w:t>
      </w:r>
      <w:r w:rsidR="00324FC8" w:rsidRPr="007E56DA">
        <w:rPr>
          <w:rFonts w:ascii="Times New Roman" w:eastAsia="Arial" w:hAnsi="Times New Roman" w:cs="Times New Roman"/>
          <w:color w:val="auto"/>
          <w:sz w:val="24"/>
          <w:szCs w:val="24"/>
        </w:rPr>
        <w:t xml:space="preserve">Además, </w:t>
      </w:r>
      <w:r w:rsidR="00B552CC" w:rsidRPr="007E56DA">
        <w:rPr>
          <w:rFonts w:ascii="Times New Roman" w:eastAsia="Arial" w:hAnsi="Times New Roman" w:cs="Times New Roman"/>
          <w:color w:val="auto"/>
          <w:sz w:val="24"/>
          <w:szCs w:val="24"/>
        </w:rPr>
        <w:t xml:space="preserve">se implicó en las discusiones sobre </w:t>
      </w:r>
      <w:r w:rsidR="002010B0" w:rsidRPr="007E56DA">
        <w:rPr>
          <w:rFonts w:ascii="Times New Roman" w:eastAsia="Arial" w:hAnsi="Times New Roman" w:cs="Times New Roman"/>
          <w:color w:val="auto"/>
          <w:sz w:val="24"/>
          <w:szCs w:val="24"/>
        </w:rPr>
        <w:t xml:space="preserve">tratamiento informativo que deben hacer los medios de </w:t>
      </w:r>
      <w:r w:rsidR="002010B0" w:rsidRPr="007E56DA">
        <w:rPr>
          <w:rFonts w:ascii="Times New Roman" w:eastAsia="Arial" w:hAnsi="Times New Roman" w:cs="Times New Roman"/>
          <w:color w:val="auto"/>
          <w:sz w:val="24"/>
          <w:szCs w:val="24"/>
        </w:rPr>
        <w:lastRenderedPageBreak/>
        <w:t>comunicación sobre el tema</w:t>
      </w:r>
      <w:r w:rsidR="00B552CC" w:rsidRPr="007E56DA">
        <w:rPr>
          <w:rFonts w:ascii="Times New Roman" w:eastAsia="Arial" w:hAnsi="Times New Roman" w:cs="Times New Roman"/>
          <w:color w:val="auto"/>
          <w:sz w:val="24"/>
          <w:szCs w:val="24"/>
          <w:vertAlign w:val="superscript"/>
        </w:rPr>
        <w:footnoteReference w:id="56"/>
      </w:r>
      <w:r w:rsidR="002010B0" w:rsidRPr="007E56DA">
        <w:rPr>
          <w:rFonts w:ascii="Times New Roman" w:eastAsia="Arial" w:hAnsi="Times New Roman" w:cs="Times New Roman"/>
          <w:color w:val="auto"/>
          <w:sz w:val="24"/>
          <w:szCs w:val="24"/>
        </w:rPr>
        <w:t xml:space="preserve">. </w:t>
      </w:r>
      <w:r w:rsidR="00B552CC" w:rsidRPr="007E56DA">
        <w:rPr>
          <w:rFonts w:ascii="Times New Roman" w:eastAsia="Arial" w:hAnsi="Times New Roman" w:cs="Times New Roman"/>
          <w:color w:val="auto"/>
          <w:sz w:val="24"/>
          <w:szCs w:val="24"/>
        </w:rPr>
        <w:t xml:space="preserve">Asimismo, la FMA </w:t>
      </w:r>
      <w:r w:rsidR="002010B0" w:rsidRPr="007E56DA">
        <w:rPr>
          <w:rFonts w:ascii="Times New Roman" w:eastAsia="Arial" w:hAnsi="Times New Roman" w:cs="Times New Roman"/>
          <w:color w:val="auto"/>
          <w:sz w:val="24"/>
          <w:szCs w:val="24"/>
        </w:rPr>
        <w:t>trabajó conjuntamente con organismos gubernamentales</w:t>
      </w:r>
      <w:r w:rsidR="002010B0" w:rsidRPr="007E56DA">
        <w:rPr>
          <w:rFonts w:ascii="Times New Roman" w:eastAsia="Arial" w:hAnsi="Times New Roman" w:cs="Times New Roman"/>
          <w:color w:val="auto"/>
          <w:sz w:val="24"/>
          <w:szCs w:val="24"/>
          <w:vertAlign w:val="superscript"/>
        </w:rPr>
        <w:footnoteReference w:id="57"/>
      </w:r>
      <w:r w:rsidR="002010B0" w:rsidRPr="007E56DA">
        <w:rPr>
          <w:rFonts w:ascii="Times New Roman" w:eastAsia="Arial" w:hAnsi="Times New Roman" w:cs="Times New Roman"/>
          <w:color w:val="auto"/>
          <w:sz w:val="24"/>
          <w:szCs w:val="24"/>
        </w:rPr>
        <w:t xml:space="preserve"> en capacitaciones y asistencias a las víctimas</w:t>
      </w:r>
      <w:r w:rsidR="002010B0" w:rsidRPr="007E56DA">
        <w:rPr>
          <w:rFonts w:ascii="Times New Roman" w:eastAsia="Arial" w:hAnsi="Times New Roman" w:cs="Times New Roman"/>
          <w:color w:val="auto"/>
          <w:sz w:val="24"/>
          <w:szCs w:val="24"/>
          <w:vertAlign w:val="superscript"/>
        </w:rPr>
        <w:footnoteReference w:id="58"/>
      </w:r>
      <w:r w:rsidR="00B552CC" w:rsidRPr="007E56DA">
        <w:rPr>
          <w:rFonts w:ascii="Times New Roman" w:eastAsia="Arial" w:hAnsi="Times New Roman" w:cs="Times New Roman"/>
          <w:color w:val="auto"/>
          <w:sz w:val="24"/>
          <w:szCs w:val="24"/>
        </w:rPr>
        <w:t xml:space="preserve">. También se vinculó </w:t>
      </w:r>
      <w:r w:rsidR="002010B0" w:rsidRPr="007E56DA">
        <w:rPr>
          <w:rFonts w:ascii="Times New Roman" w:eastAsia="Arial" w:hAnsi="Times New Roman" w:cs="Times New Roman"/>
          <w:color w:val="auto"/>
          <w:sz w:val="24"/>
          <w:szCs w:val="24"/>
        </w:rPr>
        <w:t>con legisladores</w:t>
      </w:r>
      <w:r w:rsidR="002010B0" w:rsidRPr="007E56DA">
        <w:rPr>
          <w:rFonts w:ascii="Times New Roman" w:eastAsia="Arial" w:hAnsi="Times New Roman" w:cs="Times New Roman"/>
          <w:color w:val="auto"/>
          <w:sz w:val="24"/>
          <w:szCs w:val="24"/>
          <w:vertAlign w:val="superscript"/>
        </w:rPr>
        <w:footnoteReference w:id="59"/>
      </w:r>
      <w:r w:rsidR="00B552CC" w:rsidRPr="007E56DA">
        <w:rPr>
          <w:rFonts w:ascii="Times New Roman" w:eastAsia="Arial" w:hAnsi="Times New Roman" w:cs="Times New Roman"/>
          <w:color w:val="auto"/>
          <w:sz w:val="24"/>
          <w:szCs w:val="24"/>
        </w:rPr>
        <w:t>con el propósito de</w:t>
      </w:r>
      <w:r w:rsidR="002010B0" w:rsidRPr="007E56DA">
        <w:rPr>
          <w:rFonts w:ascii="Times New Roman" w:eastAsia="Arial" w:hAnsi="Times New Roman" w:cs="Times New Roman"/>
          <w:color w:val="auto"/>
          <w:sz w:val="24"/>
          <w:szCs w:val="24"/>
        </w:rPr>
        <w:t xml:space="preserve"> promover una </w:t>
      </w:r>
      <w:r w:rsidR="009C6393" w:rsidRPr="007E56DA">
        <w:rPr>
          <w:rFonts w:ascii="Times New Roman" w:eastAsia="Arial" w:hAnsi="Times New Roman" w:cs="Times New Roman"/>
          <w:color w:val="auto"/>
          <w:sz w:val="24"/>
          <w:szCs w:val="24"/>
        </w:rPr>
        <w:t xml:space="preserve">ley. </w:t>
      </w:r>
    </w:p>
    <w:p w:rsidR="0050691B" w:rsidRPr="007E56DA" w:rsidRDefault="0050691B" w:rsidP="00034C3D">
      <w:pPr>
        <w:pStyle w:val="Normal1"/>
        <w:spacing w:after="0" w:line="360" w:lineRule="auto"/>
        <w:jc w:val="both"/>
        <w:rPr>
          <w:rFonts w:ascii="Times New Roman" w:eastAsia="Arial" w:hAnsi="Times New Roman" w:cs="Times New Roman"/>
          <w:color w:val="auto"/>
          <w:sz w:val="24"/>
          <w:szCs w:val="24"/>
        </w:rPr>
      </w:pPr>
    </w:p>
    <w:p w:rsidR="00D159C9" w:rsidRPr="007E56DA" w:rsidRDefault="0050691B" w:rsidP="00034C3D">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Al comparar las cond</w:t>
      </w:r>
      <w:r w:rsidR="00AE0AC3" w:rsidRPr="007E56DA">
        <w:rPr>
          <w:rFonts w:ascii="Times New Roman" w:eastAsia="Arial" w:hAnsi="Times New Roman" w:cs="Times New Roman"/>
          <w:color w:val="auto"/>
          <w:sz w:val="24"/>
          <w:szCs w:val="24"/>
        </w:rPr>
        <w:t>iciones de enunciabilidad de sus propuestas</w:t>
      </w:r>
      <w:r w:rsidRPr="007E56DA">
        <w:rPr>
          <w:rFonts w:ascii="Times New Roman" w:eastAsia="Arial" w:hAnsi="Times New Roman" w:cs="Times New Roman"/>
          <w:color w:val="auto"/>
          <w:sz w:val="24"/>
          <w:szCs w:val="24"/>
        </w:rPr>
        <w:t xml:space="preserve">, </w:t>
      </w:r>
      <w:r w:rsidR="00E533B1" w:rsidRPr="007E56DA">
        <w:rPr>
          <w:rFonts w:ascii="Times New Roman" w:eastAsia="Arial" w:hAnsi="Times New Roman" w:cs="Times New Roman"/>
          <w:color w:val="auto"/>
          <w:sz w:val="24"/>
          <w:szCs w:val="24"/>
        </w:rPr>
        <w:t>pudimos reconocer</w:t>
      </w:r>
      <w:r w:rsidRPr="007E56DA">
        <w:rPr>
          <w:rFonts w:ascii="Times New Roman" w:eastAsia="Arial" w:hAnsi="Times New Roman" w:cs="Times New Roman"/>
          <w:color w:val="auto"/>
          <w:sz w:val="24"/>
          <w:szCs w:val="24"/>
        </w:rPr>
        <w:t xml:space="preserve"> que la FMA se abrió camino en un momento en el cual eran centrales otros reclamos vinculados a la </w:t>
      </w:r>
      <w:r w:rsidR="001E5EB2" w:rsidRPr="007E56DA">
        <w:rPr>
          <w:rFonts w:ascii="Times New Roman" w:eastAsia="Arial" w:hAnsi="Times New Roman" w:cs="Times New Roman"/>
          <w:color w:val="auto"/>
          <w:sz w:val="24"/>
          <w:szCs w:val="24"/>
        </w:rPr>
        <w:t xml:space="preserve">vulnerabilidad de los </w:t>
      </w:r>
      <w:r w:rsidRPr="007E56DA">
        <w:rPr>
          <w:rFonts w:ascii="Times New Roman" w:eastAsia="Arial" w:hAnsi="Times New Roman" w:cs="Times New Roman"/>
          <w:color w:val="auto"/>
          <w:sz w:val="24"/>
          <w:szCs w:val="24"/>
        </w:rPr>
        <w:t>bienes materiales</w:t>
      </w:r>
      <w:r w:rsidR="00003BFB" w:rsidRPr="007E56DA">
        <w:rPr>
          <w:rFonts w:ascii="Times New Roman" w:eastAsia="Arial" w:hAnsi="Times New Roman" w:cs="Times New Roman"/>
          <w:color w:val="auto"/>
          <w:sz w:val="24"/>
          <w:szCs w:val="24"/>
        </w:rPr>
        <w:t xml:space="preserve"> y</w:t>
      </w:r>
      <w:r w:rsidR="001E5EB2" w:rsidRPr="007E56DA">
        <w:rPr>
          <w:rFonts w:ascii="Times New Roman" w:eastAsia="Arial" w:hAnsi="Times New Roman" w:cs="Times New Roman"/>
          <w:color w:val="auto"/>
          <w:sz w:val="24"/>
          <w:szCs w:val="24"/>
        </w:rPr>
        <w:t>,</w:t>
      </w:r>
      <w:r w:rsidR="00003BFB" w:rsidRPr="007E56DA">
        <w:rPr>
          <w:rFonts w:ascii="Times New Roman" w:eastAsia="Arial" w:hAnsi="Times New Roman" w:cs="Times New Roman"/>
          <w:color w:val="auto"/>
          <w:sz w:val="24"/>
          <w:szCs w:val="24"/>
        </w:rPr>
        <w:t xml:space="preserve"> en casos extremos, la vida de las personas</w:t>
      </w:r>
      <w:r w:rsidR="001E5EB2" w:rsidRPr="007E56DA">
        <w:rPr>
          <w:rFonts w:ascii="Times New Roman" w:eastAsia="Arial" w:hAnsi="Times New Roman" w:cs="Times New Roman"/>
          <w:color w:val="auto"/>
          <w:sz w:val="24"/>
          <w:szCs w:val="24"/>
        </w:rPr>
        <w:t xml:space="preserve">. Se trataba del auge de </w:t>
      </w:r>
      <w:r w:rsidRPr="007E56DA">
        <w:rPr>
          <w:rFonts w:ascii="Times New Roman" w:eastAsia="Arial" w:hAnsi="Times New Roman" w:cs="Times New Roman"/>
          <w:color w:val="auto"/>
          <w:sz w:val="24"/>
          <w:szCs w:val="24"/>
        </w:rPr>
        <w:t>los secuestros express y secuestros virtuales</w:t>
      </w:r>
      <w:r w:rsidR="001E5EB2" w:rsidRPr="007E56DA">
        <w:rPr>
          <w:rFonts w:ascii="Times New Roman" w:eastAsia="Arial" w:hAnsi="Times New Roman" w:cs="Times New Roman"/>
          <w:color w:val="auto"/>
          <w:sz w:val="24"/>
          <w:szCs w:val="24"/>
        </w:rPr>
        <w:t xml:space="preserve">. La </w:t>
      </w:r>
      <w:r w:rsidRPr="007E56DA">
        <w:rPr>
          <w:rFonts w:ascii="Times New Roman" w:eastAsia="Arial" w:hAnsi="Times New Roman" w:cs="Times New Roman"/>
          <w:color w:val="auto"/>
          <w:sz w:val="24"/>
          <w:szCs w:val="24"/>
        </w:rPr>
        <w:t xml:space="preserve">FMA tuvo </w:t>
      </w:r>
      <w:r w:rsidR="001E5EB2" w:rsidRPr="007E56DA">
        <w:rPr>
          <w:rFonts w:ascii="Times New Roman" w:eastAsia="Arial" w:hAnsi="Times New Roman" w:cs="Times New Roman"/>
          <w:color w:val="auto"/>
          <w:sz w:val="24"/>
          <w:szCs w:val="24"/>
        </w:rPr>
        <w:t xml:space="preserve">gran </w:t>
      </w:r>
      <w:r w:rsidRPr="007E56DA">
        <w:rPr>
          <w:rFonts w:ascii="Times New Roman" w:eastAsia="Arial" w:hAnsi="Times New Roman" w:cs="Times New Roman"/>
          <w:color w:val="auto"/>
          <w:sz w:val="24"/>
          <w:szCs w:val="24"/>
        </w:rPr>
        <w:t xml:space="preserve">incidencia en la construcción de la propia aceptabilidad de su reclamo en un momento en el cual éste era marginal e invisibilizado: el de la vulnerabilidad de la integridad de las mujeres, susceptibles de ser explotadas sexualmente. </w:t>
      </w:r>
    </w:p>
    <w:p w:rsidR="009C5DCF" w:rsidRPr="007E56DA" w:rsidRDefault="00D159C9" w:rsidP="00E533B1">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Por otro lado, en el caso de la </w:t>
      </w:r>
      <w:r w:rsidR="00034C3D" w:rsidRPr="007E56DA">
        <w:rPr>
          <w:rFonts w:ascii="Times New Roman" w:eastAsia="Arial" w:hAnsi="Times New Roman" w:cs="Times New Roman"/>
          <w:color w:val="auto"/>
          <w:sz w:val="24"/>
          <w:szCs w:val="24"/>
        </w:rPr>
        <w:t>AJL</w:t>
      </w:r>
      <w:r w:rsidR="002A73A5">
        <w:rPr>
          <w:rFonts w:ascii="Times New Roman" w:eastAsia="Arial" w:hAnsi="Times New Roman" w:cs="Times New Roman"/>
          <w:color w:val="auto"/>
          <w:sz w:val="24"/>
          <w:szCs w:val="24"/>
        </w:rPr>
        <w:t xml:space="preserve"> </w:t>
      </w:r>
      <w:r w:rsidR="00D104C4" w:rsidRPr="007E56DA">
        <w:rPr>
          <w:rFonts w:ascii="Times New Roman" w:eastAsia="Arial" w:hAnsi="Times New Roman" w:cs="Times New Roman"/>
          <w:color w:val="auto"/>
          <w:sz w:val="24"/>
          <w:szCs w:val="24"/>
        </w:rPr>
        <w:t xml:space="preserve">vimos que </w:t>
      </w:r>
      <w:r w:rsidRPr="007E56DA">
        <w:rPr>
          <w:rFonts w:ascii="Times New Roman" w:eastAsia="Arial" w:hAnsi="Times New Roman" w:cs="Times New Roman"/>
          <w:color w:val="auto"/>
          <w:sz w:val="24"/>
          <w:szCs w:val="24"/>
        </w:rPr>
        <w:t xml:space="preserve">sus reclamos </w:t>
      </w:r>
      <w:r w:rsidR="00E533B1" w:rsidRPr="007E56DA">
        <w:rPr>
          <w:rFonts w:ascii="Times New Roman" w:eastAsia="Arial" w:hAnsi="Times New Roman" w:cs="Times New Roman"/>
          <w:color w:val="auto"/>
          <w:sz w:val="24"/>
          <w:szCs w:val="24"/>
        </w:rPr>
        <w:t xml:space="preserve">se </w:t>
      </w:r>
      <w:r w:rsidRPr="007E56DA">
        <w:rPr>
          <w:rFonts w:ascii="Times New Roman" w:eastAsia="Arial" w:hAnsi="Times New Roman" w:cs="Times New Roman"/>
          <w:color w:val="auto"/>
          <w:sz w:val="24"/>
          <w:szCs w:val="24"/>
        </w:rPr>
        <w:t xml:space="preserve">articularon en un entramado discursivo hegemónico </w:t>
      </w:r>
      <w:r w:rsidR="00E533B1" w:rsidRPr="007E56DA">
        <w:rPr>
          <w:rFonts w:ascii="Times New Roman" w:eastAsia="Arial" w:hAnsi="Times New Roman" w:cs="Times New Roman"/>
          <w:color w:val="auto"/>
          <w:sz w:val="24"/>
          <w:szCs w:val="24"/>
        </w:rPr>
        <w:t xml:space="preserve">en el cual </w:t>
      </w:r>
      <w:r w:rsidRPr="007E56DA">
        <w:rPr>
          <w:rFonts w:ascii="Times New Roman" w:eastAsia="Arial" w:hAnsi="Times New Roman" w:cs="Times New Roman"/>
          <w:color w:val="auto"/>
          <w:sz w:val="24"/>
          <w:szCs w:val="24"/>
        </w:rPr>
        <w:t>la credibilidad y legitimidad de la justicia</w:t>
      </w:r>
      <w:r w:rsidR="00E533B1" w:rsidRPr="007E56DA">
        <w:rPr>
          <w:rFonts w:ascii="Times New Roman" w:eastAsia="Arial" w:hAnsi="Times New Roman" w:cs="Times New Roman"/>
          <w:color w:val="auto"/>
          <w:sz w:val="24"/>
          <w:szCs w:val="24"/>
        </w:rPr>
        <w:t xml:space="preserve"> eran </w:t>
      </w:r>
      <w:r w:rsidR="009C5DCF" w:rsidRPr="007E56DA">
        <w:rPr>
          <w:rFonts w:ascii="Times New Roman" w:eastAsia="Arial" w:hAnsi="Times New Roman" w:cs="Times New Roman"/>
          <w:color w:val="auto"/>
          <w:sz w:val="24"/>
          <w:szCs w:val="24"/>
        </w:rPr>
        <w:t>discutidas</w:t>
      </w:r>
      <w:r w:rsidR="00E533B1" w:rsidRPr="007E56DA">
        <w:rPr>
          <w:rFonts w:ascii="Times New Roman" w:eastAsia="Arial" w:hAnsi="Times New Roman" w:cs="Times New Roman"/>
          <w:color w:val="auto"/>
          <w:sz w:val="24"/>
          <w:szCs w:val="24"/>
        </w:rPr>
        <w:t xml:space="preserve">. </w:t>
      </w:r>
      <w:r w:rsidR="004E4F4B" w:rsidRPr="007E56DA">
        <w:rPr>
          <w:rFonts w:ascii="Times New Roman" w:eastAsia="Arial" w:hAnsi="Times New Roman" w:cs="Times New Roman"/>
          <w:color w:val="auto"/>
          <w:sz w:val="24"/>
          <w:szCs w:val="24"/>
        </w:rPr>
        <w:t xml:space="preserve">Si bien ya </w:t>
      </w:r>
      <w:r w:rsidR="009C5DCF" w:rsidRPr="007E56DA">
        <w:rPr>
          <w:rFonts w:ascii="Times New Roman" w:eastAsia="Arial" w:hAnsi="Times New Roman" w:cs="Times New Roman"/>
          <w:color w:val="auto"/>
          <w:sz w:val="24"/>
          <w:szCs w:val="24"/>
        </w:rPr>
        <w:t xml:space="preserve">no se trataba de aquella </w:t>
      </w:r>
      <w:r w:rsidR="004E4F4B" w:rsidRPr="007E56DA">
        <w:rPr>
          <w:rFonts w:ascii="Times New Roman" w:eastAsia="Arial" w:hAnsi="Times New Roman" w:cs="Times New Roman"/>
          <w:color w:val="auto"/>
          <w:sz w:val="24"/>
          <w:szCs w:val="24"/>
        </w:rPr>
        <w:t>cuestionada justicia menemista, s</w:t>
      </w:r>
      <w:r w:rsidR="00E533B1" w:rsidRPr="007E56DA">
        <w:rPr>
          <w:rFonts w:ascii="Times New Roman" w:eastAsia="Arial" w:hAnsi="Times New Roman" w:cs="Times New Roman"/>
          <w:color w:val="auto"/>
          <w:sz w:val="24"/>
          <w:szCs w:val="24"/>
        </w:rPr>
        <w:t xml:space="preserve">e encontraba instalado en la agenda pública el debate en torno a la </w:t>
      </w:r>
      <w:r w:rsidRPr="007E56DA">
        <w:rPr>
          <w:rFonts w:ascii="Times New Roman" w:eastAsia="Arial" w:hAnsi="Times New Roman" w:cs="Times New Roman"/>
          <w:color w:val="auto"/>
          <w:sz w:val="24"/>
          <w:szCs w:val="24"/>
        </w:rPr>
        <w:t xml:space="preserve">“crisis” </w:t>
      </w:r>
      <w:r w:rsidR="004E4F4B" w:rsidRPr="007E56DA">
        <w:rPr>
          <w:rFonts w:ascii="Times New Roman" w:eastAsia="Arial" w:hAnsi="Times New Roman" w:cs="Times New Roman"/>
          <w:color w:val="auto"/>
          <w:sz w:val="24"/>
          <w:szCs w:val="24"/>
        </w:rPr>
        <w:t>de la institución</w:t>
      </w:r>
      <w:r w:rsidR="009C5DCF" w:rsidRPr="007E56DA">
        <w:rPr>
          <w:rFonts w:ascii="Times New Roman" w:eastAsia="Arial" w:hAnsi="Times New Roman" w:cs="Times New Roman"/>
          <w:color w:val="auto"/>
          <w:sz w:val="24"/>
          <w:szCs w:val="24"/>
        </w:rPr>
        <w:t xml:space="preserve"> y allí, la articulación entre el impacto social de la sentencia absolutoria a los acusados por la desaparición de Marita Verón y el fallo de la Corte que escudaba al grupo Clarín, confluyeron en definir un escenario público propicio para discutir la estructura judicial.</w:t>
      </w:r>
    </w:p>
    <w:p w:rsidR="00E533B1" w:rsidRPr="007E56DA" w:rsidRDefault="00E533B1" w:rsidP="00E533B1">
      <w:pPr>
        <w:pStyle w:val="Normal1"/>
        <w:spacing w:after="0" w:line="360" w:lineRule="auto"/>
        <w:jc w:val="both"/>
        <w:rPr>
          <w:rFonts w:ascii="Times New Roman" w:eastAsia="Times New Roman" w:hAnsi="Times New Roman" w:cs="Times New Roman"/>
          <w:color w:val="auto"/>
          <w:sz w:val="24"/>
          <w:szCs w:val="24"/>
        </w:rPr>
      </w:pPr>
    </w:p>
    <w:p w:rsidR="002010B0" w:rsidRPr="007E56DA" w:rsidRDefault="002010B0" w:rsidP="00720F81">
      <w:pPr>
        <w:pStyle w:val="Normal1"/>
        <w:numPr>
          <w:ilvl w:val="0"/>
          <w:numId w:val="4"/>
        </w:numPr>
        <w:spacing w:after="0" w:line="360" w:lineRule="auto"/>
        <w:ind w:left="0" w:firstLine="0"/>
        <w:contextualSpacing/>
        <w:jc w:val="both"/>
        <w:rPr>
          <w:rFonts w:ascii="Times New Roman" w:eastAsia="Arial" w:hAnsi="Times New Roman" w:cs="Times New Roman"/>
          <w:b/>
          <w:color w:val="auto"/>
          <w:sz w:val="24"/>
          <w:szCs w:val="24"/>
        </w:rPr>
      </w:pPr>
      <w:r w:rsidRPr="007E56DA">
        <w:rPr>
          <w:rFonts w:ascii="Times New Roman" w:eastAsia="Arial" w:hAnsi="Times New Roman" w:cs="Times New Roman"/>
          <w:b/>
          <w:color w:val="auto"/>
          <w:sz w:val="24"/>
          <w:szCs w:val="24"/>
        </w:rPr>
        <w:t>Las estrategias de incidencia: entre los debates y las leyes</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Como dijimos, Justicia Legítima comenzó a articularse y a tomar visibilidad pública en diciembre de 2012 a partir de lo que consideramos su primera estrategia de diferenciación, con el </w:t>
      </w:r>
      <w:r w:rsidRPr="007E56DA">
        <w:rPr>
          <w:rFonts w:ascii="Times New Roman" w:eastAsia="Arial" w:hAnsi="Times New Roman" w:cs="Times New Roman"/>
          <w:i/>
          <w:color w:val="auto"/>
          <w:sz w:val="24"/>
          <w:szCs w:val="24"/>
        </w:rPr>
        <w:t>rechazo</w:t>
      </w:r>
      <w:r w:rsidRPr="007E56DA">
        <w:rPr>
          <w:rFonts w:ascii="Times New Roman" w:eastAsia="Arial" w:hAnsi="Times New Roman" w:cs="Times New Roman"/>
          <w:color w:val="auto"/>
          <w:sz w:val="24"/>
          <w:szCs w:val="24"/>
        </w:rPr>
        <w:t xml:space="preserve"> por parte de más de setecientos jueces, fiscales, defensores públicos, académicos y funcionarios de todo el país al comunicado publicado por las asociaciones </w:t>
      </w:r>
      <w:r w:rsidR="00E533B1" w:rsidRPr="007E56DA">
        <w:rPr>
          <w:rFonts w:ascii="Times New Roman" w:eastAsia="Arial" w:hAnsi="Times New Roman" w:cs="Times New Roman"/>
          <w:color w:val="auto"/>
          <w:sz w:val="24"/>
          <w:szCs w:val="24"/>
        </w:rPr>
        <w:t xml:space="preserve">profesionales representadas en </w:t>
      </w:r>
      <w:r w:rsidRPr="007E56DA">
        <w:rPr>
          <w:rFonts w:ascii="Times New Roman" w:eastAsia="Arial" w:hAnsi="Times New Roman" w:cs="Times New Roman"/>
          <w:color w:val="auto"/>
          <w:sz w:val="24"/>
          <w:szCs w:val="24"/>
        </w:rPr>
        <w:t xml:space="preserve">la Comisión Nacional de Protección de la Independencia Judicial, la Junta Federal de Cortes, la Asociación de Magistrados y Funcionarios de la Justicia Nacional y la Federación Argentina de la </w:t>
      </w:r>
      <w:r w:rsidRPr="007E56DA">
        <w:rPr>
          <w:rFonts w:ascii="Times New Roman" w:eastAsia="Arial" w:hAnsi="Times New Roman" w:cs="Times New Roman"/>
          <w:color w:val="auto"/>
          <w:sz w:val="24"/>
          <w:szCs w:val="24"/>
        </w:rPr>
        <w:lastRenderedPageBreak/>
        <w:t>Magistratura, quienes habían pedido al gobierno de Cristina Fernández que no “presione” a los jueces en relación a la cautelar que protegía al Grupo Clarín.</w:t>
      </w:r>
      <w:r w:rsidRPr="007E56DA">
        <w:rPr>
          <w:rFonts w:ascii="Times New Roman" w:eastAsia="Arial" w:hAnsi="Times New Roman" w:cs="Times New Roman"/>
          <w:color w:val="auto"/>
          <w:sz w:val="24"/>
          <w:szCs w:val="24"/>
          <w:vertAlign w:val="superscript"/>
        </w:rPr>
        <w:footnoteReference w:id="60"/>
      </w:r>
    </w:p>
    <w:p w:rsidR="00BA63A6"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La </w:t>
      </w:r>
      <w:r w:rsidRPr="007E56DA">
        <w:rPr>
          <w:rFonts w:ascii="Times New Roman" w:eastAsia="Arial" w:hAnsi="Times New Roman" w:cs="Times New Roman"/>
          <w:i/>
          <w:color w:val="auto"/>
          <w:sz w:val="24"/>
          <w:szCs w:val="24"/>
        </w:rPr>
        <w:t>solicitada</w:t>
      </w:r>
      <w:r w:rsidR="00085BC5">
        <w:rPr>
          <w:rFonts w:ascii="Times New Roman" w:eastAsia="Arial" w:hAnsi="Times New Roman" w:cs="Times New Roman"/>
          <w:i/>
          <w:color w:val="auto"/>
          <w:sz w:val="24"/>
          <w:szCs w:val="24"/>
        </w:rPr>
        <w:t xml:space="preserve"> </w:t>
      </w:r>
      <w:r w:rsidR="007723FB" w:rsidRPr="007E56DA">
        <w:rPr>
          <w:rFonts w:ascii="Times New Roman" w:eastAsia="Arial" w:hAnsi="Times New Roman" w:cs="Times New Roman"/>
          <w:color w:val="auto"/>
          <w:sz w:val="24"/>
          <w:szCs w:val="24"/>
        </w:rPr>
        <w:t xml:space="preserve">publicada en medios gráficos nacionales el 11 de diciembre de 2012 </w:t>
      </w:r>
      <w:r w:rsidRPr="007E56DA">
        <w:rPr>
          <w:rFonts w:ascii="Times New Roman" w:eastAsia="Arial" w:hAnsi="Times New Roman" w:cs="Times New Roman"/>
          <w:color w:val="auto"/>
          <w:sz w:val="24"/>
          <w:szCs w:val="24"/>
        </w:rPr>
        <w:t>llevaba como título “Una justicia legítima”, lo cual, inmediatamente</w:t>
      </w:r>
      <w:r w:rsidR="009372B7" w:rsidRPr="007E56DA">
        <w:rPr>
          <w:rFonts w:ascii="Times New Roman" w:eastAsia="Arial" w:hAnsi="Times New Roman" w:cs="Times New Roman"/>
          <w:color w:val="auto"/>
          <w:sz w:val="24"/>
          <w:szCs w:val="24"/>
        </w:rPr>
        <w:t xml:space="preserve"> constituiría </w:t>
      </w:r>
      <w:r w:rsidRPr="007E56DA">
        <w:rPr>
          <w:rFonts w:ascii="Times New Roman" w:eastAsia="Arial" w:hAnsi="Times New Roman" w:cs="Times New Roman"/>
          <w:color w:val="auto"/>
          <w:sz w:val="24"/>
          <w:szCs w:val="24"/>
        </w:rPr>
        <w:t>la estrategia de autonominación de este agente. Así, al mismo tiempo que se diferenciaban de las asociaciones mencionadas, se</w:t>
      </w:r>
      <w:r w:rsidR="009372B7" w:rsidRPr="007E56DA">
        <w:rPr>
          <w:rFonts w:ascii="Times New Roman" w:eastAsia="Arial" w:hAnsi="Times New Roman" w:cs="Times New Roman"/>
          <w:color w:val="auto"/>
          <w:sz w:val="24"/>
          <w:szCs w:val="24"/>
        </w:rPr>
        <w:t xml:space="preserve"> definían </w:t>
      </w:r>
      <w:r w:rsidRPr="007E56DA">
        <w:rPr>
          <w:rFonts w:ascii="Times New Roman" w:eastAsia="Arial" w:hAnsi="Times New Roman" w:cs="Times New Roman"/>
          <w:color w:val="auto"/>
          <w:sz w:val="24"/>
          <w:szCs w:val="24"/>
        </w:rPr>
        <w:t>a sí mismos por medio de los valores que se atribuyeron: “justicia” y “legítima”.</w:t>
      </w:r>
    </w:p>
    <w:p w:rsidR="002D6D7A" w:rsidRPr="007E56DA" w:rsidRDefault="00BA63A6"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Además,</w:t>
      </w:r>
      <w:r w:rsidR="00085BC5">
        <w:rPr>
          <w:rFonts w:ascii="Times New Roman" w:eastAsia="Arial" w:hAnsi="Times New Roman" w:cs="Times New Roman"/>
          <w:color w:val="auto"/>
          <w:sz w:val="24"/>
          <w:szCs w:val="24"/>
        </w:rPr>
        <w:t xml:space="preserve"> </w:t>
      </w:r>
      <w:r w:rsidRPr="007E56DA">
        <w:rPr>
          <w:rFonts w:ascii="Times New Roman" w:eastAsia="Arial" w:hAnsi="Times New Roman" w:cs="Times New Roman"/>
          <w:color w:val="auto"/>
          <w:sz w:val="24"/>
          <w:szCs w:val="24"/>
        </w:rPr>
        <w:t xml:space="preserve">a </w:t>
      </w:r>
      <w:r w:rsidR="002D6D7A" w:rsidRPr="007E56DA">
        <w:rPr>
          <w:rFonts w:ascii="Times New Roman" w:eastAsia="Arial" w:hAnsi="Times New Roman" w:cs="Times New Roman"/>
          <w:color w:val="auto"/>
          <w:sz w:val="24"/>
          <w:szCs w:val="24"/>
        </w:rPr>
        <w:t>las acusaciones de “movimiento partidario kirchnerista al interior del Poder Judicial”, opusieron la idea de</w:t>
      </w:r>
      <w:r w:rsidR="00273C80" w:rsidRPr="007E56DA">
        <w:rPr>
          <w:rFonts w:ascii="Times New Roman" w:eastAsia="Arial" w:hAnsi="Times New Roman" w:cs="Times New Roman"/>
          <w:color w:val="auto"/>
          <w:sz w:val="24"/>
          <w:szCs w:val="24"/>
        </w:rPr>
        <w:t xml:space="preserve"> que “por primera vez” se dejaba de “simular” que la justicia tiene un “orden natural”</w:t>
      </w:r>
      <w:r w:rsidR="00273C80" w:rsidRPr="007E56DA">
        <w:rPr>
          <w:rStyle w:val="Refdenotaalpie"/>
          <w:rFonts w:ascii="Times New Roman" w:eastAsia="Arial" w:hAnsi="Times New Roman" w:cs="Times New Roman"/>
          <w:color w:val="auto"/>
          <w:sz w:val="24"/>
          <w:szCs w:val="24"/>
        </w:rPr>
        <w:footnoteReference w:id="61"/>
      </w:r>
      <w:r w:rsidR="00273C80" w:rsidRPr="007E56DA">
        <w:rPr>
          <w:rFonts w:ascii="Times New Roman" w:eastAsia="Arial" w:hAnsi="Times New Roman" w:cs="Times New Roman"/>
          <w:color w:val="auto"/>
          <w:sz w:val="24"/>
          <w:szCs w:val="24"/>
        </w:rPr>
        <w:t xml:space="preserve"> y busc</w:t>
      </w:r>
      <w:r w:rsidRPr="007E56DA">
        <w:rPr>
          <w:rFonts w:ascii="Times New Roman" w:eastAsia="Arial" w:hAnsi="Times New Roman" w:cs="Times New Roman"/>
          <w:color w:val="auto"/>
          <w:sz w:val="24"/>
          <w:szCs w:val="24"/>
        </w:rPr>
        <w:t>aron</w:t>
      </w:r>
      <w:r w:rsidR="00273C80" w:rsidRPr="007E56DA">
        <w:rPr>
          <w:rFonts w:ascii="Times New Roman" w:eastAsia="Arial" w:hAnsi="Times New Roman" w:cs="Times New Roman"/>
          <w:color w:val="auto"/>
          <w:sz w:val="24"/>
          <w:szCs w:val="24"/>
        </w:rPr>
        <w:t xml:space="preserve"> enmarcar el debate como </w:t>
      </w:r>
      <w:r w:rsidRPr="007E56DA">
        <w:rPr>
          <w:rFonts w:ascii="Times New Roman" w:eastAsia="Arial" w:hAnsi="Times New Roman" w:cs="Times New Roman"/>
          <w:color w:val="auto"/>
          <w:sz w:val="24"/>
          <w:szCs w:val="24"/>
        </w:rPr>
        <w:t xml:space="preserve">la </w:t>
      </w:r>
      <w:r w:rsidR="00273C80" w:rsidRPr="007E56DA">
        <w:rPr>
          <w:rFonts w:ascii="Times New Roman" w:eastAsia="Arial" w:hAnsi="Times New Roman" w:cs="Times New Roman"/>
          <w:color w:val="auto"/>
          <w:sz w:val="24"/>
          <w:szCs w:val="24"/>
        </w:rPr>
        <w:t xml:space="preserve">consecuencia del </w:t>
      </w:r>
      <w:r w:rsidR="002D6D7A" w:rsidRPr="007E56DA">
        <w:rPr>
          <w:rFonts w:ascii="Times New Roman" w:eastAsia="Arial" w:hAnsi="Times New Roman" w:cs="Times New Roman"/>
          <w:i/>
          <w:color w:val="auto"/>
          <w:sz w:val="24"/>
          <w:szCs w:val="24"/>
        </w:rPr>
        <w:t>fin de la ficción de la neutralidad política</w:t>
      </w:r>
      <w:r w:rsidR="002D6D7A" w:rsidRPr="007E56DA">
        <w:rPr>
          <w:rFonts w:ascii="Times New Roman" w:eastAsia="Arial" w:hAnsi="Times New Roman" w:cs="Times New Roman"/>
          <w:color w:val="auto"/>
          <w:sz w:val="24"/>
          <w:szCs w:val="24"/>
        </w:rPr>
        <w:t xml:space="preserve">: </w:t>
      </w:r>
    </w:p>
    <w:p w:rsidR="002D6D7A" w:rsidRPr="007E56DA" w:rsidRDefault="002D6D7A" w:rsidP="0065650C">
      <w:pPr>
        <w:pStyle w:val="Normal1"/>
        <w:spacing w:after="0" w:line="360" w:lineRule="auto"/>
        <w:jc w:val="both"/>
        <w:rPr>
          <w:rFonts w:ascii="Times New Roman" w:eastAsia="Arial" w:hAnsi="Times New Roman" w:cs="Times New Roman"/>
          <w:color w:val="auto"/>
          <w:sz w:val="24"/>
          <w:szCs w:val="24"/>
        </w:rPr>
      </w:pPr>
    </w:p>
    <w:p w:rsidR="002D6D7A" w:rsidRPr="007E56DA" w:rsidRDefault="002D6D7A" w:rsidP="002D6D7A">
      <w:pPr>
        <w:pStyle w:val="Normal1"/>
        <w:spacing w:after="0" w:line="360" w:lineRule="auto"/>
        <w:ind w:left="720"/>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Todos los jueces y fiscales tienen ideología política porque votamos como cualquier ciudadano común; quienes se escudan detrás de una supuesta asepsia política son los que hacen política mala en el Poder Judicial. Son los que se sentaron en los juicios contra los represores y ocasionaron grandes demoras, lo que es importante sincerar es que nuestra función es política, no política partidaria o electoral, porque eso no se puede, pero sí política en el sentido de que formamos un poder del Estado que tenemos como función bregar por hacer Justicia por el bien común.</w:t>
      </w:r>
      <w:r w:rsidRPr="007E56DA">
        <w:rPr>
          <w:rStyle w:val="Refdenotaalpie"/>
          <w:rFonts w:ascii="Times New Roman" w:hAnsi="Times New Roman" w:cs="Times New Roman"/>
          <w:color w:val="auto"/>
          <w:sz w:val="24"/>
          <w:szCs w:val="24"/>
        </w:rPr>
        <w:footnoteReference w:id="62"/>
      </w:r>
    </w:p>
    <w:p w:rsidR="002D6D7A" w:rsidRPr="007E56DA" w:rsidRDefault="002D6D7A" w:rsidP="0065650C">
      <w:pPr>
        <w:pStyle w:val="Normal1"/>
        <w:spacing w:after="0" w:line="360" w:lineRule="auto"/>
        <w:jc w:val="both"/>
        <w:rPr>
          <w:rFonts w:ascii="Times New Roman" w:eastAsia="Arial" w:hAnsi="Times New Roman" w:cs="Times New Roman"/>
          <w:color w:val="auto"/>
          <w:sz w:val="24"/>
          <w:szCs w:val="24"/>
        </w:rPr>
      </w:pPr>
    </w:p>
    <w:p w:rsidR="00BA63A6" w:rsidRPr="007E56DA" w:rsidRDefault="00BA63A6"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Y también, como respuesta a una </w:t>
      </w:r>
      <w:r w:rsidRPr="007E56DA">
        <w:rPr>
          <w:rFonts w:ascii="Times New Roman" w:eastAsia="Arial" w:hAnsi="Times New Roman" w:cs="Times New Roman"/>
          <w:i/>
          <w:color w:val="auto"/>
          <w:sz w:val="24"/>
          <w:szCs w:val="24"/>
        </w:rPr>
        <w:t>deuda pendiente</w:t>
      </w:r>
      <w:r w:rsidR="003E07CC">
        <w:rPr>
          <w:rFonts w:ascii="Times New Roman" w:eastAsia="Arial" w:hAnsi="Times New Roman" w:cs="Times New Roman"/>
          <w:i/>
          <w:color w:val="auto"/>
          <w:sz w:val="24"/>
          <w:szCs w:val="24"/>
        </w:rPr>
        <w:t xml:space="preserve"> </w:t>
      </w:r>
      <w:r w:rsidRPr="007E56DA">
        <w:rPr>
          <w:rFonts w:ascii="Times New Roman" w:eastAsia="Arial" w:hAnsi="Times New Roman" w:cs="Times New Roman"/>
          <w:i/>
          <w:color w:val="auto"/>
          <w:sz w:val="24"/>
          <w:szCs w:val="24"/>
        </w:rPr>
        <w:t>de la justicia con la sociedad</w:t>
      </w:r>
      <w:r w:rsidRPr="007E56DA">
        <w:rPr>
          <w:rFonts w:ascii="Times New Roman" w:eastAsia="Arial" w:hAnsi="Times New Roman" w:cs="Times New Roman"/>
          <w:color w:val="auto"/>
          <w:sz w:val="24"/>
          <w:szCs w:val="24"/>
        </w:rPr>
        <w:t xml:space="preserve">: </w:t>
      </w:r>
      <w:r w:rsidRPr="007E56DA">
        <w:rPr>
          <w:rFonts w:ascii="Times New Roman" w:hAnsi="Times New Roman" w:cs="Times New Roman"/>
          <w:color w:val="auto"/>
          <w:sz w:val="24"/>
          <w:szCs w:val="24"/>
        </w:rPr>
        <w:t xml:space="preserve">la de terminar con la “sagrada familia” judicial.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A</w:t>
      </w:r>
      <w:r w:rsidR="00A74CB6" w:rsidRPr="007E56DA">
        <w:rPr>
          <w:rFonts w:ascii="Times New Roman" w:eastAsia="Arial" w:hAnsi="Times New Roman" w:cs="Times New Roman"/>
          <w:color w:val="auto"/>
          <w:sz w:val="24"/>
          <w:szCs w:val="24"/>
        </w:rPr>
        <w:t>demás</w:t>
      </w:r>
      <w:r w:rsidRPr="007E56DA">
        <w:rPr>
          <w:rFonts w:ascii="Times New Roman" w:eastAsia="Arial" w:hAnsi="Times New Roman" w:cs="Times New Roman"/>
          <w:color w:val="auto"/>
          <w:sz w:val="24"/>
          <w:szCs w:val="24"/>
        </w:rPr>
        <w:t xml:space="preserve">, el surgimiento de este agente se presenta como la concreción de un proceso en el cual la Justicia </w:t>
      </w:r>
      <w:r w:rsidRPr="007E56DA">
        <w:rPr>
          <w:rFonts w:ascii="Times New Roman" w:eastAsia="Arial" w:hAnsi="Times New Roman" w:cs="Times New Roman"/>
          <w:i/>
          <w:color w:val="auto"/>
          <w:sz w:val="24"/>
          <w:szCs w:val="24"/>
        </w:rPr>
        <w:t>se cuestiona a sí misma: visibilizando escisiones y disputas</w:t>
      </w:r>
      <w:r w:rsidRPr="007E56DA">
        <w:rPr>
          <w:rFonts w:ascii="Times New Roman" w:eastAsia="Arial" w:hAnsi="Times New Roman" w:cs="Times New Roman"/>
          <w:color w:val="auto"/>
          <w:sz w:val="24"/>
          <w:szCs w:val="24"/>
        </w:rPr>
        <w:t xml:space="preserve"> al interior del mismo Poder Judicial y </w:t>
      </w:r>
      <w:r w:rsidRPr="007E56DA">
        <w:rPr>
          <w:rFonts w:ascii="Times New Roman" w:eastAsia="Arial" w:hAnsi="Times New Roman" w:cs="Times New Roman"/>
          <w:i/>
          <w:color w:val="auto"/>
          <w:sz w:val="24"/>
          <w:szCs w:val="24"/>
        </w:rPr>
        <w:t>sus relaciones con los poderes fácticos</w:t>
      </w:r>
      <w:r w:rsidRPr="007E56DA">
        <w:rPr>
          <w:rFonts w:ascii="Times New Roman" w:eastAsia="Arial" w:hAnsi="Times New Roman" w:cs="Times New Roman"/>
          <w:color w:val="auto"/>
          <w:sz w:val="24"/>
          <w:szCs w:val="24"/>
        </w:rPr>
        <w:t>.</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p>
    <w:p w:rsidR="002010B0" w:rsidRPr="007E56DA" w:rsidRDefault="002010B0" w:rsidP="000912FD">
      <w:pPr>
        <w:pStyle w:val="Normal1"/>
        <w:spacing w:after="0" w:line="360" w:lineRule="auto"/>
        <w:ind w:left="720"/>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lastRenderedPageBreak/>
        <w:t>Gils Carbó consideró ilegítimo el hecho de que “predominen los sistemas corporativos antes que un servicio a la comunidad. El sistema actual es corporativo, oscurantista, de lobbies aceitados con agentes externos, de reacciones corporativas que quieren disciplinar a los magistrados que denuncian a jueces corruptos”, aseveró. En este sentido denunció la desactualización del sistema procesal y la dependencia de los fiscales a la voluntad de los jueces de investigar o no determinados casos, especialmente en los de corrupción tanto pública, como privada. “Tenemos un sistema procesal arcaico, un sistema mixto inquisitivo donde el juez es el que decide si el fiscal investiga o no. Puede haber responsabilidades personales para analizar caso por caso, pero cuando los imputados pueden pagar buenos abogados es difícil avanzar en los procesos. Hay que hacer un cambio cultural, que el fiscal, el defensor y el juez pongan el acento en que son servidores de la comunidad” sostuvo. (</w:t>
      </w:r>
      <w:r w:rsidRPr="007E56DA">
        <w:rPr>
          <w:rFonts w:ascii="Times New Roman" w:eastAsia="Arial" w:hAnsi="Times New Roman" w:cs="Times New Roman"/>
          <w:i/>
          <w:color w:val="auto"/>
          <w:sz w:val="24"/>
          <w:szCs w:val="24"/>
        </w:rPr>
        <w:t xml:space="preserve">La Voz del Interior, </w:t>
      </w:r>
      <w:r w:rsidRPr="007E56DA">
        <w:rPr>
          <w:rFonts w:ascii="Times New Roman" w:eastAsia="Arial" w:hAnsi="Times New Roman" w:cs="Times New Roman"/>
          <w:color w:val="auto"/>
          <w:sz w:val="24"/>
          <w:szCs w:val="24"/>
        </w:rPr>
        <w:t>27-02-2013)</w:t>
      </w:r>
      <w:r w:rsidRPr="007E56DA">
        <w:rPr>
          <w:rFonts w:ascii="Times New Roman" w:eastAsia="Arial" w:hAnsi="Times New Roman" w:cs="Times New Roman"/>
          <w:color w:val="auto"/>
          <w:sz w:val="24"/>
          <w:szCs w:val="24"/>
          <w:vertAlign w:val="superscript"/>
        </w:rPr>
        <w:footnoteReference w:id="63"/>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Además, como parte de esta autocrítica, Justicia Legítima </w:t>
      </w:r>
      <w:r w:rsidRPr="007E56DA">
        <w:rPr>
          <w:rFonts w:ascii="Times New Roman" w:eastAsia="Arial" w:hAnsi="Times New Roman" w:cs="Times New Roman"/>
          <w:i/>
          <w:color w:val="auto"/>
          <w:sz w:val="24"/>
          <w:szCs w:val="24"/>
        </w:rPr>
        <w:t>convocó con una nueva solicitada, a sectores históricamente aislados de estos debates</w:t>
      </w:r>
      <w:r w:rsidRPr="007E56DA">
        <w:rPr>
          <w:rFonts w:ascii="Times New Roman" w:eastAsia="Arial" w:hAnsi="Times New Roman" w:cs="Times New Roman"/>
          <w:i/>
          <w:color w:val="auto"/>
          <w:sz w:val="24"/>
          <w:szCs w:val="24"/>
          <w:vertAlign w:val="superscript"/>
        </w:rPr>
        <w:footnoteReference w:id="64"/>
      </w:r>
      <w:r w:rsidRPr="007E56DA">
        <w:rPr>
          <w:rFonts w:ascii="Times New Roman" w:eastAsia="Arial" w:hAnsi="Times New Roman" w:cs="Times New Roman"/>
          <w:i/>
          <w:color w:val="auto"/>
          <w:sz w:val="24"/>
          <w:szCs w:val="24"/>
        </w:rPr>
        <w:t xml:space="preserve">. </w:t>
      </w:r>
      <w:r w:rsidR="00856594" w:rsidRPr="007E56DA">
        <w:rPr>
          <w:rFonts w:ascii="Times New Roman" w:eastAsia="Arial" w:hAnsi="Times New Roman" w:cs="Times New Roman"/>
          <w:color w:val="auto"/>
          <w:sz w:val="24"/>
          <w:szCs w:val="24"/>
        </w:rPr>
        <w:t>Así, e</w:t>
      </w:r>
      <w:r w:rsidR="00BB669F" w:rsidRPr="007E56DA">
        <w:rPr>
          <w:rFonts w:ascii="Times New Roman" w:eastAsia="Arial" w:hAnsi="Times New Roman" w:cs="Times New Roman"/>
          <w:color w:val="auto"/>
          <w:sz w:val="24"/>
          <w:szCs w:val="24"/>
        </w:rPr>
        <w:t xml:space="preserve">l 27 y 28 de </w:t>
      </w:r>
      <w:r w:rsidRPr="007E56DA">
        <w:rPr>
          <w:rFonts w:ascii="Times New Roman" w:eastAsia="Arial" w:hAnsi="Times New Roman" w:cs="Times New Roman"/>
          <w:color w:val="auto"/>
          <w:sz w:val="24"/>
          <w:szCs w:val="24"/>
        </w:rPr>
        <w:t>febrero de 2013 se organiz</w:t>
      </w:r>
      <w:r w:rsidR="00A74CB6" w:rsidRPr="007E56DA">
        <w:rPr>
          <w:rFonts w:ascii="Times New Roman" w:eastAsia="Arial" w:hAnsi="Times New Roman" w:cs="Times New Roman"/>
          <w:color w:val="auto"/>
          <w:sz w:val="24"/>
          <w:szCs w:val="24"/>
        </w:rPr>
        <w:t xml:space="preserve">aron las primeras dos </w:t>
      </w:r>
      <w:r w:rsidRPr="007E56DA">
        <w:rPr>
          <w:rFonts w:ascii="Times New Roman" w:eastAsia="Arial" w:hAnsi="Times New Roman" w:cs="Times New Roman"/>
          <w:i/>
          <w:color w:val="auto"/>
          <w:sz w:val="24"/>
          <w:szCs w:val="24"/>
        </w:rPr>
        <w:t>reuni</w:t>
      </w:r>
      <w:r w:rsidR="00A74CB6" w:rsidRPr="007E56DA">
        <w:rPr>
          <w:rFonts w:ascii="Times New Roman" w:eastAsia="Arial" w:hAnsi="Times New Roman" w:cs="Times New Roman"/>
          <w:i/>
          <w:color w:val="auto"/>
          <w:sz w:val="24"/>
          <w:szCs w:val="24"/>
        </w:rPr>
        <w:t>ones</w:t>
      </w:r>
      <w:r w:rsidRPr="007E56DA">
        <w:rPr>
          <w:rFonts w:ascii="Times New Roman" w:eastAsia="Arial" w:hAnsi="Times New Roman" w:cs="Times New Roman"/>
          <w:color w:val="auto"/>
          <w:sz w:val="24"/>
          <w:szCs w:val="24"/>
        </w:rPr>
        <w:t xml:space="preserve"> de “Justicia Legítima” en la Biblioteca Nacional. Allí se congregaron </w:t>
      </w:r>
      <w:r w:rsidR="00BB669F" w:rsidRPr="007E56DA">
        <w:rPr>
          <w:rFonts w:ascii="Times New Roman" w:eastAsia="Arial" w:hAnsi="Times New Roman" w:cs="Times New Roman"/>
          <w:color w:val="auto"/>
          <w:sz w:val="24"/>
          <w:szCs w:val="24"/>
        </w:rPr>
        <w:t xml:space="preserve">unos </w:t>
      </w:r>
      <w:r w:rsidRPr="007E56DA">
        <w:rPr>
          <w:rFonts w:ascii="Times New Roman" w:eastAsia="Arial" w:hAnsi="Times New Roman" w:cs="Times New Roman"/>
          <w:color w:val="auto"/>
          <w:sz w:val="24"/>
          <w:szCs w:val="24"/>
        </w:rPr>
        <w:t xml:space="preserve">2000 participantes en torno a la </w:t>
      </w:r>
      <w:r w:rsidRPr="007E56DA">
        <w:rPr>
          <w:rFonts w:ascii="Times New Roman" w:eastAsia="Arial" w:hAnsi="Times New Roman" w:cs="Times New Roman"/>
          <w:i/>
          <w:color w:val="auto"/>
          <w:sz w:val="24"/>
          <w:szCs w:val="24"/>
        </w:rPr>
        <w:t xml:space="preserve">consigna de hacer una Justicia menos corporativa por medio de instrumentos jurídicos dotados de legitimidad parlamentaria. </w:t>
      </w:r>
      <w:r w:rsidRPr="007E56DA">
        <w:rPr>
          <w:rFonts w:ascii="Times New Roman" w:eastAsia="Arial" w:hAnsi="Times New Roman" w:cs="Times New Roman"/>
          <w:color w:val="auto"/>
          <w:sz w:val="24"/>
          <w:szCs w:val="24"/>
        </w:rPr>
        <w:t xml:space="preserve">En junio de 2013 el grupo se constituyó como </w:t>
      </w:r>
      <w:r w:rsidRPr="007E56DA">
        <w:rPr>
          <w:rFonts w:ascii="Times New Roman" w:eastAsia="Arial" w:hAnsi="Times New Roman" w:cs="Times New Roman"/>
          <w:i/>
          <w:color w:val="auto"/>
          <w:sz w:val="24"/>
          <w:szCs w:val="24"/>
        </w:rPr>
        <w:t>asociación civil sin fines de lucro</w:t>
      </w:r>
      <w:r w:rsidRPr="007E56DA">
        <w:rPr>
          <w:rFonts w:ascii="Times New Roman" w:eastAsia="Arial" w:hAnsi="Times New Roman" w:cs="Times New Roman"/>
          <w:color w:val="auto"/>
          <w:sz w:val="24"/>
          <w:szCs w:val="24"/>
        </w:rPr>
        <w:t>.</w:t>
      </w:r>
      <w:r w:rsidR="00BB669F" w:rsidRPr="007E56DA">
        <w:rPr>
          <w:rStyle w:val="Refdenotaalpie"/>
          <w:rFonts w:ascii="Times New Roman" w:eastAsia="Arial" w:hAnsi="Times New Roman" w:cs="Times New Roman"/>
          <w:color w:val="auto"/>
          <w:sz w:val="24"/>
          <w:szCs w:val="24"/>
        </w:rPr>
        <w:footnoteReference w:id="65"/>
      </w:r>
    </w:p>
    <w:p w:rsidR="00E2433D" w:rsidRPr="007E56DA" w:rsidRDefault="002010B0" w:rsidP="006460B2">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Otra estrategia de comunicación específica para la divulgación, ampliación y profundización de los debates y en pos de incrementar su visibilización, auto-legitimarse, legitimar sus propuestas, sumar reconocimiento y apoyo, fue la implementación de una </w:t>
      </w:r>
      <w:r w:rsidRPr="007E56DA">
        <w:rPr>
          <w:rFonts w:ascii="Times New Roman" w:eastAsia="Arial" w:hAnsi="Times New Roman" w:cs="Times New Roman"/>
          <w:i/>
          <w:color w:val="auto"/>
          <w:sz w:val="24"/>
          <w:szCs w:val="24"/>
        </w:rPr>
        <w:t xml:space="preserve">página web. </w:t>
      </w:r>
      <w:r w:rsidRPr="007E56DA">
        <w:rPr>
          <w:rFonts w:ascii="Times New Roman" w:eastAsia="Arial" w:hAnsi="Times New Roman" w:cs="Times New Roman"/>
          <w:color w:val="auto"/>
          <w:sz w:val="24"/>
          <w:szCs w:val="24"/>
        </w:rPr>
        <w:t xml:space="preserve">En la página se recopilan los </w:t>
      </w:r>
      <w:r w:rsidRPr="007E56DA">
        <w:rPr>
          <w:rFonts w:ascii="Times New Roman" w:eastAsia="Arial" w:hAnsi="Times New Roman" w:cs="Times New Roman"/>
          <w:i/>
          <w:color w:val="auto"/>
          <w:sz w:val="24"/>
          <w:szCs w:val="24"/>
        </w:rPr>
        <w:t>documentos</w:t>
      </w:r>
      <w:r w:rsidRPr="007E56DA">
        <w:rPr>
          <w:rFonts w:ascii="Times New Roman" w:eastAsia="Arial" w:hAnsi="Times New Roman" w:cs="Times New Roman"/>
          <w:color w:val="auto"/>
          <w:sz w:val="24"/>
          <w:szCs w:val="24"/>
        </w:rPr>
        <w:t xml:space="preserve"> producidos por Justicia Legítima en los que este agente colectivo </w:t>
      </w:r>
      <w:r w:rsidRPr="007E56DA">
        <w:rPr>
          <w:rFonts w:ascii="Times New Roman" w:eastAsia="Arial" w:hAnsi="Times New Roman" w:cs="Times New Roman"/>
          <w:i/>
          <w:color w:val="auto"/>
          <w:sz w:val="24"/>
          <w:szCs w:val="24"/>
        </w:rPr>
        <w:t>fija posición</w:t>
      </w:r>
      <w:r w:rsidRPr="007E56DA">
        <w:rPr>
          <w:rFonts w:ascii="Times New Roman" w:eastAsia="Arial" w:hAnsi="Times New Roman" w:cs="Times New Roman"/>
          <w:color w:val="auto"/>
          <w:sz w:val="24"/>
          <w:szCs w:val="24"/>
        </w:rPr>
        <w:t xml:space="preserve"> y </w:t>
      </w:r>
      <w:r w:rsidRPr="007E56DA">
        <w:rPr>
          <w:rFonts w:ascii="Times New Roman" w:eastAsia="Arial" w:hAnsi="Times New Roman" w:cs="Times New Roman"/>
          <w:i/>
          <w:color w:val="auto"/>
          <w:sz w:val="24"/>
          <w:szCs w:val="24"/>
        </w:rPr>
        <w:t xml:space="preserve">expone sus propuestas </w:t>
      </w:r>
      <w:r w:rsidRPr="007E56DA">
        <w:rPr>
          <w:rFonts w:ascii="Times New Roman" w:eastAsia="Arial" w:hAnsi="Times New Roman" w:cs="Times New Roman"/>
          <w:color w:val="auto"/>
          <w:sz w:val="24"/>
          <w:szCs w:val="24"/>
        </w:rPr>
        <w:t>para la democratización de la Justicia.</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Asimismo, la página incluye un registro de los </w:t>
      </w:r>
      <w:r w:rsidRPr="007E56DA">
        <w:rPr>
          <w:rFonts w:ascii="Times New Roman" w:eastAsia="Arial" w:hAnsi="Times New Roman" w:cs="Times New Roman"/>
          <w:i/>
          <w:color w:val="auto"/>
          <w:sz w:val="24"/>
          <w:szCs w:val="24"/>
        </w:rPr>
        <w:t>encuentros</w:t>
      </w:r>
      <w:r w:rsidRPr="007E56DA">
        <w:rPr>
          <w:rFonts w:ascii="Times New Roman" w:eastAsia="Arial" w:hAnsi="Times New Roman" w:cs="Times New Roman"/>
          <w:color w:val="auto"/>
          <w:sz w:val="24"/>
          <w:szCs w:val="24"/>
        </w:rPr>
        <w:t xml:space="preserve"> organizados en todo el país, así como una selección de </w:t>
      </w:r>
      <w:r w:rsidRPr="007E56DA">
        <w:rPr>
          <w:rFonts w:ascii="Times New Roman" w:eastAsia="Arial" w:hAnsi="Times New Roman" w:cs="Times New Roman"/>
          <w:i/>
          <w:color w:val="auto"/>
          <w:sz w:val="24"/>
          <w:szCs w:val="24"/>
        </w:rPr>
        <w:t>notas de opinión</w:t>
      </w:r>
      <w:r w:rsidRPr="007E56DA">
        <w:rPr>
          <w:rFonts w:ascii="Times New Roman" w:eastAsia="Arial" w:hAnsi="Times New Roman" w:cs="Times New Roman"/>
          <w:color w:val="auto"/>
          <w:sz w:val="24"/>
          <w:szCs w:val="24"/>
        </w:rPr>
        <w:t xml:space="preserve">, muchas de las cuales llevan la firma de miembros de Justicia Legítima y que han sido publicadas en medios de prensa. La web </w:t>
      </w:r>
      <w:r w:rsidRPr="007E56DA">
        <w:rPr>
          <w:rFonts w:ascii="Times New Roman" w:eastAsia="Arial" w:hAnsi="Times New Roman" w:cs="Times New Roman"/>
          <w:color w:val="auto"/>
          <w:sz w:val="24"/>
          <w:szCs w:val="24"/>
        </w:rPr>
        <w:lastRenderedPageBreak/>
        <w:t xml:space="preserve">también incluye una sección de </w:t>
      </w:r>
      <w:r w:rsidRPr="007E56DA">
        <w:rPr>
          <w:rFonts w:ascii="Times New Roman" w:eastAsia="Arial" w:hAnsi="Times New Roman" w:cs="Times New Roman"/>
          <w:i/>
          <w:color w:val="auto"/>
          <w:sz w:val="24"/>
          <w:szCs w:val="24"/>
        </w:rPr>
        <w:t>noticias</w:t>
      </w:r>
      <w:r w:rsidRPr="007E56DA">
        <w:rPr>
          <w:rFonts w:ascii="Times New Roman" w:eastAsia="Arial" w:hAnsi="Times New Roman" w:cs="Times New Roman"/>
          <w:color w:val="auto"/>
          <w:sz w:val="24"/>
          <w:szCs w:val="24"/>
        </w:rPr>
        <w:t xml:space="preserve"> desde la cual se apuesta a disputar –si bien desde una posición marginal-, la agenda mediática.</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En las secciones “Misión” y “Quiénes somos” se explicita la construcción del enunciador “Justicia Legítima”. En la primera de ellas, la construcción del enunciador se sustenta en el uso de la tercera persona, el modo impersonal acorde al propósito de la sección destinada a describir “objetivamente” en qué consiste esta asociación y a presentar sus propósitos:</w:t>
      </w:r>
    </w:p>
    <w:p w:rsidR="002010B0" w:rsidRPr="007E56DA" w:rsidRDefault="002010B0" w:rsidP="00691657">
      <w:pPr>
        <w:pStyle w:val="Normal1"/>
        <w:spacing w:after="0" w:line="360" w:lineRule="auto"/>
        <w:ind w:left="720"/>
        <w:jc w:val="both"/>
        <w:rPr>
          <w:rFonts w:ascii="Times New Roman" w:hAnsi="Times New Roman" w:cs="Times New Roman"/>
          <w:color w:val="auto"/>
          <w:sz w:val="24"/>
          <w:szCs w:val="24"/>
        </w:rPr>
      </w:pPr>
    </w:p>
    <w:p w:rsidR="002010B0" w:rsidRPr="007E56DA" w:rsidRDefault="002010B0" w:rsidP="00691657">
      <w:pPr>
        <w:pStyle w:val="Normal1"/>
        <w:spacing w:after="0" w:line="360" w:lineRule="auto"/>
        <w:ind w:left="720"/>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Justicia Legítima es una Asociación Civil que reúne a personas de distintos espacios comprometidas en trabajar de forma activa en la democratización de los poderes judiciales de la Argentina. Con la recuperación de la democracia, muchas instituciones han modificado su estructura y prácticas de trabajo. La justicia, sin embargo, se ha mantenido al margen de todo este proceso, reproduciendo un discurso hermético, endogámico y corporativo. Justicia Legítima impulsa una justicia independiente y transparente, que permita reconciliar a la justicia con la ciudadanía, interpretar las necesidades sociales e intervenir activamente en las transformaciones sociales.</w:t>
      </w:r>
      <w:r w:rsidRPr="007E56DA">
        <w:rPr>
          <w:rFonts w:ascii="Times New Roman" w:eastAsia="Arial" w:hAnsi="Times New Roman" w:cs="Times New Roman"/>
          <w:color w:val="auto"/>
          <w:sz w:val="24"/>
          <w:szCs w:val="24"/>
          <w:vertAlign w:val="superscript"/>
        </w:rPr>
        <w:footnoteReference w:id="66"/>
      </w:r>
    </w:p>
    <w:p w:rsidR="00691657" w:rsidRPr="007E56DA" w:rsidRDefault="00691657" w:rsidP="00691657">
      <w:pPr>
        <w:pStyle w:val="Normal1"/>
        <w:spacing w:after="0" w:line="360" w:lineRule="auto"/>
        <w:jc w:val="both"/>
        <w:rPr>
          <w:rFonts w:ascii="Times New Roman" w:eastAsia="Arial" w:hAnsi="Times New Roman" w:cs="Times New Roman"/>
          <w:color w:val="auto"/>
          <w:sz w:val="24"/>
          <w:szCs w:val="24"/>
        </w:rPr>
      </w:pPr>
    </w:p>
    <w:p w:rsidR="002010B0" w:rsidRPr="007E56DA" w:rsidRDefault="002010B0" w:rsidP="00691657">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Entre sus propósitos, se mencionan promover un sistema de justicia más plural e independiente, tanto de los otros poderes del Estado como de los poderes fácticos, promover el debate de los problemas que afectan a la administración de justicia, fomentar la transparencia en los procesos y las decisiones de los jueces; en la selección, el ingreso y la promoción de quienes integran el servicio de justicia; y en la gestión de los recursos económicos de las distintas estructuras judiciales, promover reformas institucionales que impliquen la mejora del sistema de administración de justicia y promover la autonomía de la defensa pública y del Ministerio Público Fiscal en todas las jurisdicciones del país.</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Por otra parte, en la sección “Quiénes somos” se deja de lado el estilo impersonal para adoptar, en cambio, la primera persona del plural. En este lugar se expone el listado de nombres y cargos de quienes integran la Comisión Directiva: Presidente, María Laura Garrigós, Secretario, Jorge Eduardo Auat, Tesorero, Mario Jaime Kestelboim, catorce Vocales titulares, catorce suplentes; y el Órgano Fiscalizador, integrado por dos </w:t>
      </w:r>
      <w:r w:rsidRPr="007E56DA">
        <w:rPr>
          <w:rFonts w:ascii="Times New Roman" w:eastAsia="Arial" w:hAnsi="Times New Roman" w:cs="Times New Roman"/>
          <w:color w:val="auto"/>
          <w:sz w:val="24"/>
          <w:szCs w:val="24"/>
        </w:rPr>
        <w:lastRenderedPageBreak/>
        <w:t>revisores de cuentas titulares y una suplente.</w:t>
      </w:r>
      <w:r w:rsidRPr="007E56DA">
        <w:rPr>
          <w:rFonts w:ascii="Times New Roman" w:eastAsia="Arial" w:hAnsi="Times New Roman" w:cs="Times New Roman"/>
          <w:color w:val="auto"/>
          <w:sz w:val="24"/>
          <w:szCs w:val="24"/>
          <w:vertAlign w:val="superscript"/>
        </w:rPr>
        <w:footnoteReference w:id="67"/>
      </w:r>
      <w:r w:rsidRPr="007E56DA">
        <w:rPr>
          <w:rFonts w:ascii="Times New Roman" w:eastAsia="Arial" w:hAnsi="Times New Roman" w:cs="Times New Roman"/>
          <w:color w:val="auto"/>
          <w:sz w:val="24"/>
          <w:szCs w:val="24"/>
        </w:rPr>
        <w:t xml:space="preserve"> Esta constituiría una estrategia de </w:t>
      </w:r>
      <w:r w:rsidRPr="007E56DA">
        <w:rPr>
          <w:rFonts w:ascii="Times New Roman" w:eastAsia="Arial" w:hAnsi="Times New Roman" w:cs="Times New Roman"/>
          <w:i/>
          <w:color w:val="auto"/>
          <w:sz w:val="24"/>
          <w:szCs w:val="24"/>
        </w:rPr>
        <w:t>transparencia</w:t>
      </w:r>
      <w:r w:rsidRPr="007E56DA">
        <w:rPr>
          <w:rFonts w:ascii="Times New Roman" w:eastAsia="Arial" w:hAnsi="Times New Roman" w:cs="Times New Roman"/>
          <w:color w:val="auto"/>
          <w:sz w:val="24"/>
          <w:szCs w:val="24"/>
        </w:rPr>
        <w:t xml:space="preserve"> (Maingueneau, </w:t>
      </w:r>
      <w:r w:rsidR="00A509C5" w:rsidRPr="007E56DA">
        <w:rPr>
          <w:rFonts w:ascii="Times New Roman" w:eastAsia="Arial" w:hAnsi="Times New Roman" w:cs="Times New Roman"/>
          <w:color w:val="auto"/>
          <w:sz w:val="24"/>
          <w:szCs w:val="24"/>
        </w:rPr>
        <w:t>1980</w:t>
      </w:r>
      <w:r w:rsidRPr="007E56DA">
        <w:rPr>
          <w:rFonts w:ascii="Times New Roman" w:eastAsia="Arial" w:hAnsi="Times New Roman" w:cs="Times New Roman"/>
          <w:color w:val="auto"/>
          <w:sz w:val="24"/>
          <w:szCs w:val="24"/>
        </w:rPr>
        <w:t>), en la medida en que se visibiliza por medio del nosotros y del organigrama de la organización que incluye nombres propios, a quienes son los sujetos que legalmente se constituyeron como asociación civil sin fines de lucro y que, por lo tanto, responden públicamente por la organización.</w:t>
      </w:r>
    </w:p>
    <w:p w:rsidR="005B5ECA" w:rsidRPr="007E56DA" w:rsidRDefault="005B5ECA" w:rsidP="0065650C">
      <w:pPr>
        <w:pStyle w:val="Normal1"/>
        <w:spacing w:after="0" w:line="360" w:lineRule="auto"/>
        <w:jc w:val="both"/>
        <w:rPr>
          <w:rFonts w:ascii="Times New Roman" w:hAnsi="Times New Roman" w:cs="Times New Roman"/>
          <w:color w:val="auto"/>
          <w:sz w:val="24"/>
          <w:szCs w:val="24"/>
          <w:shd w:val="clear" w:color="auto" w:fill="FFFFFF"/>
        </w:rPr>
      </w:pPr>
    </w:p>
    <w:p w:rsidR="0013349F" w:rsidRPr="007E56DA" w:rsidRDefault="0054594D"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Por su parte, l</w:t>
      </w:r>
      <w:r w:rsidR="002010B0" w:rsidRPr="007E56DA">
        <w:rPr>
          <w:rFonts w:ascii="Times New Roman" w:eastAsia="Arial" w:hAnsi="Times New Roman" w:cs="Times New Roman"/>
          <w:color w:val="auto"/>
          <w:sz w:val="24"/>
          <w:szCs w:val="24"/>
        </w:rPr>
        <w:t>a FMA com</w:t>
      </w:r>
      <w:r w:rsidR="00450E2C" w:rsidRPr="007E56DA">
        <w:rPr>
          <w:rFonts w:ascii="Times New Roman" w:eastAsia="Arial" w:hAnsi="Times New Roman" w:cs="Times New Roman"/>
          <w:color w:val="auto"/>
          <w:sz w:val="24"/>
          <w:szCs w:val="24"/>
        </w:rPr>
        <w:t xml:space="preserve">enzó </w:t>
      </w:r>
      <w:r w:rsidR="002010B0" w:rsidRPr="007E56DA">
        <w:rPr>
          <w:rFonts w:ascii="Times New Roman" w:eastAsia="Arial" w:hAnsi="Times New Roman" w:cs="Times New Roman"/>
          <w:color w:val="auto"/>
          <w:sz w:val="24"/>
          <w:szCs w:val="24"/>
        </w:rPr>
        <w:t>a tener visibili</w:t>
      </w:r>
      <w:r w:rsidR="0013349F" w:rsidRPr="007E56DA">
        <w:rPr>
          <w:rFonts w:ascii="Times New Roman" w:eastAsia="Arial" w:hAnsi="Times New Roman" w:cs="Times New Roman"/>
          <w:color w:val="auto"/>
          <w:sz w:val="24"/>
          <w:szCs w:val="24"/>
        </w:rPr>
        <w:t xml:space="preserve">dad pública </w:t>
      </w:r>
      <w:r w:rsidR="002010B0" w:rsidRPr="007E56DA">
        <w:rPr>
          <w:rFonts w:ascii="Times New Roman" w:eastAsia="Arial" w:hAnsi="Times New Roman" w:cs="Times New Roman"/>
          <w:color w:val="auto"/>
          <w:sz w:val="24"/>
          <w:szCs w:val="24"/>
        </w:rPr>
        <w:t xml:space="preserve">a partir </w:t>
      </w:r>
      <w:r w:rsidR="00F17871" w:rsidRPr="007E56DA">
        <w:rPr>
          <w:rFonts w:ascii="Times New Roman" w:eastAsia="Arial" w:hAnsi="Times New Roman" w:cs="Times New Roman"/>
          <w:color w:val="auto"/>
          <w:sz w:val="24"/>
          <w:szCs w:val="24"/>
        </w:rPr>
        <w:t xml:space="preserve">de las opciones </w:t>
      </w:r>
      <w:r w:rsidR="00267D25" w:rsidRPr="007E56DA">
        <w:rPr>
          <w:rFonts w:ascii="Times New Roman" w:eastAsia="Arial" w:hAnsi="Times New Roman" w:cs="Times New Roman"/>
          <w:color w:val="auto"/>
          <w:sz w:val="24"/>
          <w:szCs w:val="24"/>
        </w:rPr>
        <w:t xml:space="preserve">comenzaron a ser posibles en </w:t>
      </w:r>
      <w:r w:rsidR="00F17871" w:rsidRPr="007E56DA">
        <w:rPr>
          <w:rFonts w:ascii="Times New Roman" w:eastAsia="Arial" w:hAnsi="Times New Roman" w:cs="Times New Roman"/>
          <w:color w:val="auto"/>
          <w:sz w:val="24"/>
          <w:szCs w:val="24"/>
        </w:rPr>
        <w:t xml:space="preserve">el sistema de relaciones que </w:t>
      </w:r>
      <w:r w:rsidR="00267D25" w:rsidRPr="007E56DA">
        <w:rPr>
          <w:rFonts w:ascii="Times New Roman" w:eastAsia="Arial" w:hAnsi="Times New Roman" w:cs="Times New Roman"/>
          <w:color w:val="auto"/>
          <w:sz w:val="24"/>
          <w:szCs w:val="24"/>
        </w:rPr>
        <w:t xml:space="preserve">se </w:t>
      </w:r>
      <w:r w:rsidR="00F17871" w:rsidRPr="007E56DA">
        <w:rPr>
          <w:rFonts w:ascii="Times New Roman" w:eastAsia="Arial" w:hAnsi="Times New Roman" w:cs="Times New Roman"/>
          <w:color w:val="auto"/>
          <w:sz w:val="24"/>
          <w:szCs w:val="24"/>
        </w:rPr>
        <w:t>fue configurando</w:t>
      </w:r>
      <w:r w:rsidR="00267D25" w:rsidRPr="007E56DA">
        <w:rPr>
          <w:rFonts w:ascii="Times New Roman" w:eastAsia="Arial" w:hAnsi="Times New Roman" w:cs="Times New Roman"/>
          <w:color w:val="auto"/>
          <w:sz w:val="24"/>
          <w:szCs w:val="24"/>
        </w:rPr>
        <w:t xml:space="preserve"> en torno a ella</w:t>
      </w:r>
      <w:r w:rsidR="00F17871" w:rsidRPr="007E56DA">
        <w:rPr>
          <w:rFonts w:ascii="Times New Roman" w:eastAsia="Arial" w:hAnsi="Times New Roman" w:cs="Times New Roman"/>
          <w:color w:val="auto"/>
          <w:sz w:val="24"/>
          <w:szCs w:val="24"/>
        </w:rPr>
        <w:t xml:space="preserve">. </w:t>
      </w:r>
      <w:r w:rsidR="0013349F" w:rsidRPr="007E56DA">
        <w:rPr>
          <w:rFonts w:ascii="Times New Roman" w:eastAsia="Arial" w:hAnsi="Times New Roman" w:cs="Times New Roman"/>
          <w:color w:val="auto"/>
          <w:sz w:val="24"/>
          <w:szCs w:val="24"/>
        </w:rPr>
        <w:t xml:space="preserve">Entre esas opciones, se encuentra la de implementación de una </w:t>
      </w:r>
      <w:r w:rsidR="0013349F" w:rsidRPr="007E56DA">
        <w:rPr>
          <w:rFonts w:ascii="Times New Roman" w:eastAsia="Arial" w:hAnsi="Times New Roman" w:cs="Times New Roman"/>
          <w:i/>
          <w:color w:val="auto"/>
          <w:sz w:val="24"/>
          <w:szCs w:val="24"/>
        </w:rPr>
        <w:t xml:space="preserve">página web </w:t>
      </w:r>
      <w:r w:rsidR="0013349F" w:rsidRPr="007E56DA">
        <w:rPr>
          <w:rFonts w:ascii="Times New Roman" w:eastAsia="Arial" w:hAnsi="Times New Roman" w:cs="Times New Roman"/>
          <w:color w:val="auto"/>
          <w:sz w:val="24"/>
          <w:szCs w:val="24"/>
        </w:rPr>
        <w:t xml:space="preserve">de la fundación, </w:t>
      </w:r>
      <w:r w:rsidR="002010B0" w:rsidRPr="007E56DA">
        <w:rPr>
          <w:rFonts w:ascii="Times New Roman" w:eastAsia="Arial" w:hAnsi="Times New Roman" w:cs="Times New Roman"/>
          <w:color w:val="auto"/>
          <w:sz w:val="24"/>
          <w:szCs w:val="24"/>
        </w:rPr>
        <w:t xml:space="preserve">estrategia de comunicación específica </w:t>
      </w:r>
      <w:r w:rsidR="00F17871" w:rsidRPr="007E56DA">
        <w:rPr>
          <w:rFonts w:ascii="Times New Roman" w:eastAsia="Arial" w:hAnsi="Times New Roman" w:cs="Times New Roman"/>
          <w:color w:val="auto"/>
          <w:sz w:val="24"/>
          <w:szCs w:val="24"/>
        </w:rPr>
        <w:t xml:space="preserve">orientada a </w:t>
      </w:r>
      <w:r w:rsidR="002010B0" w:rsidRPr="007E56DA">
        <w:rPr>
          <w:rFonts w:ascii="Times New Roman" w:eastAsia="Arial" w:hAnsi="Times New Roman" w:cs="Times New Roman"/>
          <w:color w:val="auto"/>
          <w:sz w:val="24"/>
          <w:szCs w:val="24"/>
        </w:rPr>
        <w:t xml:space="preserve">divulgar información, autolegitimarse y hacer aceptables sus </w:t>
      </w:r>
      <w:r w:rsidR="0013349F" w:rsidRPr="007E56DA">
        <w:rPr>
          <w:rFonts w:ascii="Times New Roman" w:eastAsia="Arial" w:hAnsi="Times New Roman" w:cs="Times New Roman"/>
          <w:color w:val="auto"/>
          <w:sz w:val="24"/>
          <w:szCs w:val="24"/>
        </w:rPr>
        <w:t xml:space="preserve">reclamos y </w:t>
      </w:r>
      <w:r w:rsidR="002010B0" w:rsidRPr="007E56DA">
        <w:rPr>
          <w:rFonts w:ascii="Times New Roman" w:eastAsia="Arial" w:hAnsi="Times New Roman" w:cs="Times New Roman"/>
          <w:color w:val="auto"/>
          <w:sz w:val="24"/>
          <w:szCs w:val="24"/>
        </w:rPr>
        <w:t>propuestas</w:t>
      </w:r>
      <w:r w:rsidR="0013349F" w:rsidRPr="007E56DA">
        <w:rPr>
          <w:rFonts w:ascii="Times New Roman" w:eastAsia="Arial" w:hAnsi="Times New Roman" w:cs="Times New Roman"/>
          <w:color w:val="auto"/>
          <w:sz w:val="24"/>
          <w:szCs w:val="24"/>
        </w:rPr>
        <w:t xml:space="preserve">. </w:t>
      </w:r>
    </w:p>
    <w:p w:rsidR="0013349F" w:rsidRPr="007E56DA" w:rsidRDefault="002010B0" w:rsidP="0013349F">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Entre sus enunciados, la FMA recalca que su “Visión” es “ayudar a erradicar la trata de personas en la República Argentina, y mientras tanto asistir a víctimas en cada una de las provincias, trabajando de manera articulada y sostenida con el Estado”</w:t>
      </w:r>
      <w:r w:rsidRPr="007E56DA">
        <w:rPr>
          <w:rFonts w:ascii="Times New Roman" w:eastAsia="Arial" w:hAnsi="Times New Roman" w:cs="Times New Roman"/>
          <w:color w:val="auto"/>
          <w:sz w:val="24"/>
          <w:szCs w:val="24"/>
          <w:vertAlign w:val="superscript"/>
        </w:rPr>
        <w:footnoteReference w:id="68"/>
      </w:r>
      <w:r w:rsidRPr="007E56DA">
        <w:rPr>
          <w:rFonts w:ascii="Times New Roman" w:eastAsia="Arial" w:hAnsi="Times New Roman" w:cs="Times New Roman"/>
          <w:color w:val="auto"/>
          <w:sz w:val="24"/>
          <w:szCs w:val="24"/>
        </w:rPr>
        <w:t xml:space="preserve">. La </w:t>
      </w:r>
      <w:r w:rsidR="0013349F" w:rsidRPr="007E56DA">
        <w:rPr>
          <w:rFonts w:ascii="Times New Roman" w:eastAsia="Arial" w:hAnsi="Times New Roman" w:cs="Times New Roman"/>
          <w:color w:val="auto"/>
          <w:sz w:val="24"/>
          <w:szCs w:val="24"/>
        </w:rPr>
        <w:t xml:space="preserve">explicitación de la vinculación con </w:t>
      </w:r>
      <w:r w:rsidRPr="007E56DA">
        <w:rPr>
          <w:rFonts w:ascii="Times New Roman" w:eastAsia="Arial" w:hAnsi="Times New Roman" w:cs="Times New Roman"/>
          <w:color w:val="auto"/>
          <w:sz w:val="24"/>
          <w:szCs w:val="24"/>
        </w:rPr>
        <w:t xml:space="preserve">Estado </w:t>
      </w:r>
      <w:r w:rsidR="0013349F" w:rsidRPr="007E56DA">
        <w:rPr>
          <w:rFonts w:ascii="Times New Roman" w:eastAsia="Arial" w:hAnsi="Times New Roman" w:cs="Times New Roman"/>
          <w:color w:val="auto"/>
          <w:sz w:val="24"/>
          <w:szCs w:val="24"/>
        </w:rPr>
        <w:t>presentándolo como aliado fortalece la configuración de la legitimidad de sus reclamos y de su capacidad de hacer orientada a brindar asistencia integral</w:t>
      </w:r>
      <w:r w:rsidR="002A3A34" w:rsidRPr="007E56DA">
        <w:rPr>
          <w:rFonts w:ascii="Times New Roman" w:eastAsia="Arial" w:hAnsi="Times New Roman" w:cs="Times New Roman"/>
          <w:color w:val="auto"/>
          <w:sz w:val="24"/>
          <w:szCs w:val="24"/>
        </w:rPr>
        <w:t>, psicológica, contención</w:t>
      </w:r>
      <w:r w:rsidR="0013349F" w:rsidRPr="007E56DA">
        <w:rPr>
          <w:rFonts w:ascii="Times New Roman" w:eastAsia="Arial" w:hAnsi="Times New Roman" w:cs="Times New Roman"/>
          <w:color w:val="auto"/>
          <w:sz w:val="24"/>
          <w:szCs w:val="24"/>
        </w:rPr>
        <w:t xml:space="preserve"> a las víctimas</w:t>
      </w:r>
      <w:r w:rsidR="002A3A34" w:rsidRPr="007E56DA">
        <w:rPr>
          <w:rFonts w:ascii="Times New Roman" w:eastAsia="Arial" w:hAnsi="Times New Roman" w:cs="Times New Roman"/>
          <w:color w:val="auto"/>
          <w:sz w:val="24"/>
          <w:szCs w:val="24"/>
        </w:rPr>
        <w:t xml:space="preserve"> y a familiares</w:t>
      </w:r>
      <w:r w:rsidR="0013349F" w:rsidRPr="007E56DA">
        <w:rPr>
          <w:rFonts w:ascii="Times New Roman" w:eastAsia="Arial" w:hAnsi="Times New Roman" w:cs="Times New Roman"/>
          <w:color w:val="auto"/>
          <w:sz w:val="24"/>
          <w:szCs w:val="24"/>
        </w:rPr>
        <w:t xml:space="preserve">, </w:t>
      </w:r>
      <w:r w:rsidR="002A3A34" w:rsidRPr="007E56DA">
        <w:rPr>
          <w:rFonts w:ascii="Times New Roman" w:eastAsia="Arial" w:hAnsi="Times New Roman" w:cs="Times New Roman"/>
          <w:color w:val="auto"/>
          <w:sz w:val="24"/>
          <w:szCs w:val="24"/>
        </w:rPr>
        <w:t xml:space="preserve">proporcionar asesoramiento legal, recibir denuncias, cooperar en los rescates, ofrecer refugio, </w:t>
      </w:r>
      <w:r w:rsidR="0013349F" w:rsidRPr="007E56DA">
        <w:rPr>
          <w:rFonts w:ascii="Times New Roman" w:eastAsia="Arial" w:hAnsi="Times New Roman" w:cs="Times New Roman"/>
          <w:color w:val="auto"/>
          <w:sz w:val="24"/>
          <w:szCs w:val="24"/>
        </w:rPr>
        <w:t xml:space="preserve">capacitar, prevenir y reivindicar la necesidad de </w:t>
      </w:r>
      <w:r w:rsidR="00720F81" w:rsidRPr="007E56DA">
        <w:rPr>
          <w:rFonts w:ascii="Times New Roman" w:eastAsia="Arial" w:hAnsi="Times New Roman" w:cs="Times New Roman"/>
          <w:color w:val="auto"/>
          <w:sz w:val="24"/>
          <w:szCs w:val="24"/>
        </w:rPr>
        <w:t>una ley que aborde el problema.</w:t>
      </w:r>
    </w:p>
    <w:p w:rsidR="0013349F" w:rsidRPr="007E56DA" w:rsidRDefault="0013349F" w:rsidP="0013349F">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La capacitación sobre la trata de personas orientada a jueces, fiscales, operarios polic</w:t>
      </w:r>
      <w:r w:rsidR="00A23B95" w:rsidRPr="007E56DA">
        <w:rPr>
          <w:rFonts w:ascii="Times New Roman" w:eastAsia="Arial" w:hAnsi="Times New Roman" w:cs="Times New Roman"/>
          <w:color w:val="auto"/>
          <w:sz w:val="24"/>
          <w:szCs w:val="24"/>
        </w:rPr>
        <w:t xml:space="preserve">iales y la sociedad en general a fin de </w:t>
      </w:r>
      <w:r w:rsidRPr="007E56DA">
        <w:rPr>
          <w:rFonts w:ascii="Times New Roman" w:eastAsia="Arial" w:hAnsi="Times New Roman" w:cs="Times New Roman"/>
          <w:color w:val="auto"/>
          <w:sz w:val="24"/>
          <w:szCs w:val="24"/>
        </w:rPr>
        <w:t>fortalecer las herramientas para combatir este delito y sensibilizar a la sociedad en general y a las autoridades</w:t>
      </w:r>
      <w:r w:rsidR="00A23B95" w:rsidRPr="007E56DA">
        <w:rPr>
          <w:rFonts w:ascii="Times New Roman" w:eastAsia="Arial" w:hAnsi="Times New Roman" w:cs="Times New Roman"/>
          <w:color w:val="auto"/>
          <w:sz w:val="24"/>
          <w:szCs w:val="24"/>
        </w:rPr>
        <w:t>.</w:t>
      </w:r>
    </w:p>
    <w:p w:rsidR="00877E31" w:rsidRPr="007E56DA" w:rsidRDefault="002010B0" w:rsidP="00877E31">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La exposición de su organigrama está detallado en </w:t>
      </w:r>
      <w:r w:rsidRPr="007E56DA">
        <w:rPr>
          <w:rFonts w:ascii="Times New Roman" w:eastAsia="Arial" w:hAnsi="Times New Roman" w:cs="Times New Roman"/>
          <w:i/>
          <w:color w:val="auto"/>
          <w:sz w:val="24"/>
          <w:szCs w:val="24"/>
        </w:rPr>
        <w:t xml:space="preserve">“Quienes somos” </w:t>
      </w:r>
      <w:r w:rsidRPr="007E56DA">
        <w:rPr>
          <w:rFonts w:ascii="Times New Roman" w:eastAsia="Arial" w:hAnsi="Times New Roman" w:cs="Times New Roman"/>
          <w:color w:val="auto"/>
          <w:sz w:val="24"/>
          <w:szCs w:val="24"/>
        </w:rPr>
        <w:t>enumerando los nombres de cada uno de los integrantes y definiend</w:t>
      </w:r>
      <w:r w:rsidR="0013349F" w:rsidRPr="007E56DA">
        <w:rPr>
          <w:rFonts w:ascii="Times New Roman" w:eastAsia="Arial" w:hAnsi="Times New Roman" w:cs="Times New Roman"/>
          <w:color w:val="auto"/>
          <w:sz w:val="24"/>
          <w:szCs w:val="24"/>
        </w:rPr>
        <w:t>o los equipos que conforman la f</w:t>
      </w:r>
      <w:r w:rsidRPr="007E56DA">
        <w:rPr>
          <w:rFonts w:ascii="Times New Roman" w:eastAsia="Arial" w:hAnsi="Times New Roman" w:cs="Times New Roman"/>
          <w:color w:val="auto"/>
          <w:sz w:val="24"/>
          <w:szCs w:val="24"/>
        </w:rPr>
        <w:t>undación</w:t>
      </w:r>
      <w:r w:rsidR="00877E31" w:rsidRPr="007E56DA">
        <w:rPr>
          <w:rFonts w:ascii="Times New Roman" w:eastAsia="Arial" w:hAnsi="Times New Roman" w:cs="Times New Roman"/>
          <w:color w:val="auto"/>
          <w:sz w:val="24"/>
          <w:szCs w:val="24"/>
        </w:rPr>
        <w:t xml:space="preserve"> diferenciando funciones y lugares en los que están radicados: Tucumán, Córdoba y Ciudad Autónoma de Buenos Aires.</w:t>
      </w:r>
    </w:p>
    <w:p w:rsidR="005D65A6" w:rsidRPr="007E56DA" w:rsidRDefault="002010B0" w:rsidP="005D65A6">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En esta sección </w:t>
      </w:r>
      <w:r w:rsidR="0013349F" w:rsidRPr="007E56DA">
        <w:rPr>
          <w:rFonts w:ascii="Times New Roman" w:eastAsia="Arial" w:hAnsi="Times New Roman" w:cs="Times New Roman"/>
          <w:color w:val="auto"/>
          <w:sz w:val="24"/>
          <w:szCs w:val="24"/>
        </w:rPr>
        <w:t>también se cuenta la historia de la fundación</w:t>
      </w:r>
      <w:r w:rsidR="00F03E13" w:rsidRPr="007E56DA">
        <w:rPr>
          <w:rFonts w:ascii="Times New Roman" w:eastAsia="Arial" w:hAnsi="Times New Roman" w:cs="Times New Roman"/>
          <w:color w:val="auto"/>
          <w:sz w:val="24"/>
          <w:szCs w:val="24"/>
        </w:rPr>
        <w:t xml:space="preserve"> desde la desaparición de María de los Ángeles Verón hasta la ley de </w:t>
      </w:r>
      <w:r w:rsidRPr="007E56DA">
        <w:rPr>
          <w:rFonts w:ascii="Times New Roman" w:eastAsia="Arial" w:hAnsi="Times New Roman" w:cs="Times New Roman"/>
          <w:color w:val="auto"/>
          <w:sz w:val="24"/>
          <w:szCs w:val="24"/>
        </w:rPr>
        <w:t xml:space="preserve">Trata de Personas. </w:t>
      </w:r>
      <w:r w:rsidR="005D65A6" w:rsidRPr="007E56DA">
        <w:rPr>
          <w:rFonts w:ascii="Times New Roman" w:eastAsia="Arial" w:hAnsi="Times New Roman" w:cs="Times New Roman"/>
          <w:color w:val="auto"/>
          <w:sz w:val="24"/>
          <w:szCs w:val="24"/>
        </w:rPr>
        <w:t xml:space="preserve">En esta construcción, se propone un punto de vista sobre los hechos: se define a la trata en términos de crimen </w:t>
      </w:r>
      <w:r w:rsidR="005D65A6" w:rsidRPr="007E56DA">
        <w:rPr>
          <w:rFonts w:ascii="Times New Roman" w:eastAsia="Arial" w:hAnsi="Times New Roman" w:cs="Times New Roman"/>
          <w:color w:val="auto"/>
          <w:sz w:val="24"/>
          <w:szCs w:val="24"/>
        </w:rPr>
        <w:lastRenderedPageBreak/>
        <w:t xml:space="preserve">organizado, como flagelo de explotación laboral y sexual y se justifica la ineludible lucha contra las mafias organizadas. </w:t>
      </w:r>
    </w:p>
    <w:p w:rsidR="00F44F21"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Por otra parte, </w:t>
      </w:r>
      <w:r w:rsidR="00F03E13" w:rsidRPr="007E56DA">
        <w:rPr>
          <w:rFonts w:ascii="Times New Roman" w:eastAsia="Arial" w:hAnsi="Times New Roman" w:cs="Times New Roman"/>
          <w:color w:val="auto"/>
          <w:sz w:val="24"/>
          <w:szCs w:val="24"/>
        </w:rPr>
        <w:t xml:space="preserve">la web cuenta con una sección </w:t>
      </w:r>
      <w:r w:rsidRPr="007E56DA">
        <w:rPr>
          <w:rFonts w:ascii="Times New Roman" w:eastAsia="Arial" w:hAnsi="Times New Roman" w:cs="Times New Roman"/>
          <w:color w:val="auto"/>
          <w:sz w:val="24"/>
          <w:szCs w:val="24"/>
        </w:rPr>
        <w:t>destinad</w:t>
      </w:r>
      <w:r w:rsidR="00F03E13" w:rsidRPr="007E56DA">
        <w:rPr>
          <w:rFonts w:ascii="Times New Roman" w:eastAsia="Arial" w:hAnsi="Times New Roman" w:cs="Times New Roman"/>
          <w:color w:val="auto"/>
          <w:sz w:val="24"/>
          <w:szCs w:val="24"/>
        </w:rPr>
        <w:t>a</w:t>
      </w:r>
      <w:r w:rsidR="003E07CC">
        <w:rPr>
          <w:rFonts w:ascii="Times New Roman" w:eastAsia="Arial" w:hAnsi="Times New Roman" w:cs="Times New Roman"/>
          <w:color w:val="auto"/>
          <w:sz w:val="24"/>
          <w:szCs w:val="24"/>
        </w:rPr>
        <w:t xml:space="preserve"> </w:t>
      </w:r>
      <w:r w:rsidR="00F03E13" w:rsidRPr="007E56DA">
        <w:rPr>
          <w:rFonts w:ascii="Times New Roman" w:eastAsia="Arial" w:hAnsi="Times New Roman" w:cs="Times New Roman"/>
          <w:color w:val="auto"/>
          <w:sz w:val="24"/>
          <w:szCs w:val="24"/>
        </w:rPr>
        <w:t xml:space="preserve">a la cara visible de la fundación, su fundadora, </w:t>
      </w:r>
      <w:r w:rsidRPr="007E56DA">
        <w:rPr>
          <w:rFonts w:ascii="Times New Roman" w:eastAsia="Arial" w:hAnsi="Times New Roman" w:cs="Times New Roman"/>
          <w:i/>
          <w:color w:val="auto"/>
          <w:sz w:val="24"/>
          <w:szCs w:val="24"/>
        </w:rPr>
        <w:t>Susana Trimarco</w:t>
      </w:r>
      <w:r w:rsidRPr="007E56DA">
        <w:rPr>
          <w:rFonts w:ascii="Times New Roman" w:eastAsia="Arial" w:hAnsi="Times New Roman" w:cs="Times New Roman"/>
          <w:color w:val="auto"/>
          <w:sz w:val="24"/>
          <w:szCs w:val="24"/>
        </w:rPr>
        <w:t xml:space="preserve">. Allí se </w:t>
      </w:r>
      <w:r w:rsidR="00F03E13" w:rsidRPr="007E56DA">
        <w:rPr>
          <w:rFonts w:ascii="Times New Roman" w:eastAsia="Arial" w:hAnsi="Times New Roman" w:cs="Times New Roman"/>
          <w:color w:val="auto"/>
          <w:sz w:val="24"/>
          <w:szCs w:val="24"/>
        </w:rPr>
        <w:t xml:space="preserve">narra </w:t>
      </w:r>
      <w:r w:rsidRPr="007E56DA">
        <w:rPr>
          <w:rFonts w:ascii="Times New Roman" w:eastAsia="Arial" w:hAnsi="Times New Roman" w:cs="Times New Roman"/>
          <w:color w:val="auto"/>
          <w:sz w:val="24"/>
          <w:szCs w:val="24"/>
        </w:rPr>
        <w:t>en tercera persona</w:t>
      </w:r>
      <w:r w:rsidR="00F03E13" w:rsidRPr="007E56DA">
        <w:rPr>
          <w:rFonts w:ascii="Times New Roman" w:eastAsia="Arial" w:hAnsi="Times New Roman" w:cs="Times New Roman"/>
          <w:color w:val="auto"/>
          <w:sz w:val="24"/>
          <w:szCs w:val="24"/>
        </w:rPr>
        <w:t xml:space="preserve"> su </w:t>
      </w:r>
      <w:r w:rsidRPr="007E56DA">
        <w:rPr>
          <w:rFonts w:ascii="Times New Roman" w:eastAsia="Arial" w:hAnsi="Times New Roman" w:cs="Times New Roman"/>
          <w:color w:val="auto"/>
          <w:sz w:val="24"/>
          <w:szCs w:val="24"/>
        </w:rPr>
        <w:t xml:space="preserve">trayectoria, logros, reconocimientos nacionales e internacionales. </w:t>
      </w:r>
      <w:r w:rsidR="005D65A6" w:rsidRPr="007E56DA">
        <w:rPr>
          <w:rFonts w:ascii="Times New Roman" w:eastAsia="Arial" w:hAnsi="Times New Roman" w:cs="Times New Roman"/>
          <w:color w:val="auto"/>
          <w:sz w:val="24"/>
          <w:szCs w:val="24"/>
        </w:rPr>
        <w:t xml:space="preserve">En la configuración de Trimarco se destacan, entre sus atributos, su compromiso y su condición de luchadora, el hecho de haber sido pionera en la visibilización del problema y en haber propulsado acciones por la detección y prevención de otros casos de trata. </w:t>
      </w:r>
    </w:p>
    <w:p w:rsidR="00F230D9"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Otra estrategia de comunicación </w:t>
      </w:r>
      <w:r w:rsidR="001470BB" w:rsidRPr="007E56DA">
        <w:rPr>
          <w:rFonts w:ascii="Times New Roman" w:eastAsia="Arial" w:hAnsi="Times New Roman" w:cs="Times New Roman"/>
          <w:color w:val="auto"/>
          <w:sz w:val="24"/>
          <w:szCs w:val="24"/>
        </w:rPr>
        <w:t>la</w:t>
      </w:r>
      <w:r w:rsidRPr="007E56DA">
        <w:rPr>
          <w:rFonts w:ascii="Times New Roman" w:eastAsia="Arial" w:hAnsi="Times New Roman" w:cs="Times New Roman"/>
          <w:color w:val="auto"/>
          <w:sz w:val="24"/>
          <w:szCs w:val="24"/>
        </w:rPr>
        <w:t xml:space="preserve"> constituye</w:t>
      </w:r>
      <w:r w:rsidR="001470BB" w:rsidRPr="007E56DA">
        <w:rPr>
          <w:rFonts w:ascii="Times New Roman" w:eastAsia="Arial" w:hAnsi="Times New Roman" w:cs="Times New Roman"/>
          <w:color w:val="auto"/>
          <w:sz w:val="24"/>
          <w:szCs w:val="24"/>
        </w:rPr>
        <w:t>n</w:t>
      </w:r>
      <w:r w:rsidRPr="007E56DA">
        <w:rPr>
          <w:rFonts w:ascii="Times New Roman" w:eastAsia="Arial" w:hAnsi="Times New Roman" w:cs="Times New Roman"/>
          <w:color w:val="auto"/>
          <w:sz w:val="24"/>
          <w:szCs w:val="24"/>
        </w:rPr>
        <w:t xml:space="preserve"> las diferentes </w:t>
      </w:r>
      <w:r w:rsidRPr="007E56DA">
        <w:rPr>
          <w:rFonts w:ascii="Times New Roman" w:eastAsia="Arial" w:hAnsi="Times New Roman" w:cs="Times New Roman"/>
          <w:i/>
          <w:color w:val="auto"/>
          <w:sz w:val="24"/>
          <w:szCs w:val="24"/>
        </w:rPr>
        <w:t xml:space="preserve">acciones de prensa </w:t>
      </w:r>
      <w:r w:rsidRPr="007E56DA">
        <w:rPr>
          <w:rFonts w:ascii="Times New Roman" w:eastAsia="Arial" w:hAnsi="Times New Roman" w:cs="Times New Roman"/>
          <w:color w:val="auto"/>
          <w:sz w:val="24"/>
          <w:szCs w:val="24"/>
        </w:rPr>
        <w:t>realizadas desde la FMA. Son innumerables</w:t>
      </w:r>
      <w:r w:rsidRPr="007E56DA">
        <w:rPr>
          <w:rFonts w:ascii="Times New Roman" w:eastAsia="Arial" w:hAnsi="Times New Roman" w:cs="Times New Roman"/>
          <w:color w:val="auto"/>
          <w:sz w:val="24"/>
          <w:szCs w:val="24"/>
          <w:vertAlign w:val="superscript"/>
        </w:rPr>
        <w:footnoteReference w:id="69"/>
      </w:r>
      <w:r w:rsidRPr="007E56DA">
        <w:rPr>
          <w:rFonts w:ascii="Times New Roman" w:eastAsia="Arial" w:hAnsi="Times New Roman" w:cs="Times New Roman"/>
          <w:color w:val="auto"/>
          <w:sz w:val="24"/>
          <w:szCs w:val="24"/>
        </w:rPr>
        <w:t xml:space="preserve"> las apariciones en notas de diarios, portales web, material audiovisual, entrevistas que se han realizado sobre la figura de Trimarco y la FMA. Esto sin contar los documentales y audiovisuales en el que ha participado directa o indirectamente la FMA. La misma web las registra no solo en su </w:t>
      </w:r>
      <w:r w:rsidR="00F44F21" w:rsidRPr="007E56DA">
        <w:rPr>
          <w:rFonts w:ascii="Times New Roman" w:eastAsia="Arial" w:hAnsi="Times New Roman" w:cs="Times New Roman"/>
          <w:i/>
          <w:color w:val="auto"/>
          <w:sz w:val="24"/>
          <w:szCs w:val="24"/>
        </w:rPr>
        <w:t>i</w:t>
      </w:r>
      <w:r w:rsidRPr="007E56DA">
        <w:rPr>
          <w:rFonts w:ascii="Times New Roman" w:eastAsia="Arial" w:hAnsi="Times New Roman" w:cs="Times New Roman"/>
          <w:i/>
          <w:color w:val="auto"/>
          <w:sz w:val="24"/>
          <w:szCs w:val="24"/>
        </w:rPr>
        <w:t>nforme de gestión</w:t>
      </w:r>
      <w:r w:rsidRPr="007E56DA">
        <w:rPr>
          <w:rFonts w:ascii="Times New Roman" w:eastAsia="Arial" w:hAnsi="Times New Roman" w:cs="Times New Roman"/>
          <w:color w:val="auto"/>
          <w:sz w:val="24"/>
          <w:szCs w:val="24"/>
        </w:rPr>
        <w:t xml:space="preserve">, sino </w:t>
      </w:r>
      <w:r w:rsidR="001470BB" w:rsidRPr="007E56DA">
        <w:rPr>
          <w:rFonts w:ascii="Times New Roman" w:eastAsia="Arial" w:hAnsi="Times New Roman" w:cs="Times New Roman"/>
          <w:color w:val="auto"/>
          <w:sz w:val="24"/>
          <w:szCs w:val="24"/>
        </w:rPr>
        <w:t xml:space="preserve">que en la sección </w:t>
      </w:r>
      <w:r w:rsidR="00F44F21" w:rsidRPr="007E56DA">
        <w:rPr>
          <w:rFonts w:ascii="Times New Roman" w:eastAsia="Arial" w:hAnsi="Times New Roman" w:cs="Times New Roman"/>
          <w:color w:val="auto"/>
          <w:sz w:val="24"/>
          <w:szCs w:val="24"/>
        </w:rPr>
        <w:t>“</w:t>
      </w:r>
      <w:r w:rsidRPr="007E56DA">
        <w:rPr>
          <w:rFonts w:ascii="Times New Roman" w:eastAsia="Arial" w:hAnsi="Times New Roman" w:cs="Times New Roman"/>
          <w:color w:val="auto"/>
          <w:sz w:val="24"/>
          <w:szCs w:val="24"/>
        </w:rPr>
        <w:t xml:space="preserve">Prensa” </w:t>
      </w:r>
      <w:r w:rsidR="001470BB" w:rsidRPr="007E56DA">
        <w:rPr>
          <w:rFonts w:ascii="Times New Roman" w:eastAsia="Arial" w:hAnsi="Times New Roman" w:cs="Times New Roman"/>
          <w:color w:val="auto"/>
          <w:sz w:val="24"/>
          <w:szCs w:val="24"/>
        </w:rPr>
        <w:t xml:space="preserve">se presenta un </w:t>
      </w:r>
      <w:r w:rsidRPr="007E56DA">
        <w:rPr>
          <w:rFonts w:ascii="Times New Roman" w:eastAsia="Arial" w:hAnsi="Times New Roman" w:cs="Times New Roman"/>
          <w:color w:val="auto"/>
          <w:sz w:val="24"/>
          <w:szCs w:val="24"/>
        </w:rPr>
        <w:t>detall</w:t>
      </w:r>
      <w:r w:rsidR="001470BB" w:rsidRPr="007E56DA">
        <w:rPr>
          <w:rFonts w:ascii="Times New Roman" w:eastAsia="Arial" w:hAnsi="Times New Roman" w:cs="Times New Roman"/>
          <w:color w:val="auto"/>
          <w:sz w:val="24"/>
          <w:szCs w:val="24"/>
        </w:rPr>
        <w:t>e</w:t>
      </w:r>
      <w:r w:rsidR="002A73A5">
        <w:rPr>
          <w:rFonts w:ascii="Times New Roman" w:eastAsia="Arial" w:hAnsi="Times New Roman" w:cs="Times New Roman"/>
          <w:color w:val="auto"/>
          <w:sz w:val="24"/>
          <w:szCs w:val="24"/>
        </w:rPr>
        <w:t xml:space="preserve"> </w:t>
      </w:r>
      <w:r w:rsidR="001470BB" w:rsidRPr="007E56DA">
        <w:rPr>
          <w:rFonts w:ascii="Times New Roman" w:eastAsia="Arial" w:hAnsi="Times New Roman" w:cs="Times New Roman"/>
          <w:color w:val="auto"/>
          <w:sz w:val="24"/>
          <w:szCs w:val="24"/>
        </w:rPr>
        <w:t>de las actividades de la f</w:t>
      </w:r>
      <w:r w:rsidRPr="007E56DA">
        <w:rPr>
          <w:rFonts w:ascii="Times New Roman" w:eastAsia="Arial" w:hAnsi="Times New Roman" w:cs="Times New Roman"/>
          <w:color w:val="auto"/>
          <w:sz w:val="24"/>
          <w:szCs w:val="24"/>
        </w:rPr>
        <w:t xml:space="preserve">undación y apariciones en </w:t>
      </w:r>
      <w:r w:rsidR="001470BB" w:rsidRPr="007E56DA">
        <w:rPr>
          <w:rFonts w:ascii="Times New Roman" w:eastAsia="Arial" w:hAnsi="Times New Roman" w:cs="Times New Roman"/>
          <w:color w:val="auto"/>
          <w:sz w:val="24"/>
          <w:szCs w:val="24"/>
        </w:rPr>
        <w:t xml:space="preserve">la </w:t>
      </w:r>
      <w:r w:rsidRPr="007E56DA">
        <w:rPr>
          <w:rFonts w:ascii="Times New Roman" w:eastAsia="Arial" w:hAnsi="Times New Roman" w:cs="Times New Roman"/>
          <w:color w:val="auto"/>
          <w:sz w:val="24"/>
          <w:szCs w:val="24"/>
        </w:rPr>
        <w:t xml:space="preserve">prensa. </w:t>
      </w:r>
    </w:p>
    <w:p w:rsidR="002010B0" w:rsidRPr="007E56DA" w:rsidRDefault="002010B0"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La actividad periodística está profesionalizada de tal manera, que la FMA cuenta con una </w:t>
      </w:r>
      <w:r w:rsidRPr="007E56DA">
        <w:rPr>
          <w:rFonts w:ascii="Times New Roman" w:eastAsia="Arial" w:hAnsi="Times New Roman" w:cs="Times New Roman"/>
          <w:i/>
          <w:color w:val="auto"/>
          <w:sz w:val="24"/>
          <w:szCs w:val="24"/>
        </w:rPr>
        <w:t>revista propia</w:t>
      </w:r>
      <w:r w:rsidRPr="007E56DA">
        <w:rPr>
          <w:rFonts w:ascii="Times New Roman" w:eastAsia="Arial" w:hAnsi="Times New Roman" w:cs="Times New Roman"/>
          <w:color w:val="auto"/>
          <w:sz w:val="24"/>
          <w:szCs w:val="24"/>
        </w:rPr>
        <w:t xml:space="preserve"> Sol y Azhares</w:t>
      </w:r>
      <w:r w:rsidRPr="007E56DA">
        <w:rPr>
          <w:rFonts w:ascii="Times New Roman" w:eastAsia="Arial" w:hAnsi="Times New Roman" w:cs="Times New Roman"/>
          <w:color w:val="auto"/>
          <w:sz w:val="24"/>
          <w:szCs w:val="24"/>
          <w:vertAlign w:val="superscript"/>
        </w:rPr>
        <w:footnoteReference w:id="70"/>
      </w:r>
      <w:r w:rsidR="00441421" w:rsidRPr="007E56DA">
        <w:rPr>
          <w:rFonts w:ascii="Times New Roman" w:eastAsia="Arial" w:hAnsi="Times New Roman" w:cs="Times New Roman"/>
          <w:i/>
          <w:color w:val="auto"/>
          <w:sz w:val="24"/>
          <w:szCs w:val="24"/>
        </w:rPr>
        <w:t xml:space="preserve">. </w:t>
      </w:r>
    </w:p>
    <w:p w:rsidR="002010B0" w:rsidRPr="007E56DA" w:rsidRDefault="002A3A34" w:rsidP="0065650C">
      <w:pPr>
        <w:pStyle w:val="Normal1"/>
        <w:spacing w:after="0" w:line="360" w:lineRule="auto"/>
        <w:jc w:val="both"/>
        <w:rPr>
          <w:rFonts w:ascii="Times New Roman" w:hAnsi="Times New Roman" w:cs="Times New Roman"/>
          <w:color w:val="auto"/>
          <w:sz w:val="24"/>
          <w:szCs w:val="24"/>
        </w:rPr>
      </w:pPr>
      <w:r w:rsidRPr="007E56DA">
        <w:rPr>
          <w:rFonts w:ascii="Times New Roman" w:eastAsia="Arial" w:hAnsi="Times New Roman" w:cs="Times New Roman"/>
          <w:color w:val="auto"/>
          <w:sz w:val="24"/>
          <w:szCs w:val="24"/>
        </w:rPr>
        <w:t xml:space="preserve">En el </w:t>
      </w:r>
      <w:r w:rsidR="002010B0" w:rsidRPr="007E56DA">
        <w:rPr>
          <w:rFonts w:ascii="Times New Roman" w:eastAsia="Arial" w:hAnsi="Times New Roman" w:cs="Times New Roman"/>
          <w:i/>
          <w:color w:val="auto"/>
          <w:sz w:val="24"/>
          <w:szCs w:val="24"/>
        </w:rPr>
        <w:t>front page</w:t>
      </w:r>
      <w:r w:rsidRPr="007E56DA">
        <w:rPr>
          <w:rFonts w:ascii="Times New Roman" w:eastAsia="Arial" w:hAnsi="Times New Roman" w:cs="Times New Roman"/>
          <w:color w:val="auto"/>
          <w:sz w:val="24"/>
          <w:szCs w:val="24"/>
        </w:rPr>
        <w:t xml:space="preserve"> predomina la imagen. </w:t>
      </w:r>
      <w:r w:rsidR="002010B0" w:rsidRPr="007E56DA">
        <w:rPr>
          <w:rFonts w:ascii="Times New Roman" w:eastAsia="Arial" w:hAnsi="Times New Roman" w:cs="Times New Roman"/>
          <w:color w:val="auto"/>
          <w:sz w:val="24"/>
          <w:szCs w:val="24"/>
        </w:rPr>
        <w:t xml:space="preserve">Actualmente se pueden observar </w:t>
      </w:r>
      <w:r w:rsidRPr="007E56DA">
        <w:rPr>
          <w:rFonts w:ascii="Times New Roman" w:eastAsia="Arial" w:hAnsi="Times New Roman" w:cs="Times New Roman"/>
          <w:color w:val="auto"/>
          <w:sz w:val="24"/>
          <w:szCs w:val="24"/>
        </w:rPr>
        <w:t xml:space="preserve">fotografías </w:t>
      </w:r>
      <w:r w:rsidR="002010B0" w:rsidRPr="007E56DA">
        <w:rPr>
          <w:rFonts w:ascii="Times New Roman" w:eastAsia="Arial" w:hAnsi="Times New Roman" w:cs="Times New Roman"/>
          <w:color w:val="auto"/>
          <w:sz w:val="24"/>
          <w:szCs w:val="24"/>
        </w:rPr>
        <w:t xml:space="preserve">de Trimaco </w:t>
      </w:r>
      <w:r w:rsidRPr="007E56DA">
        <w:rPr>
          <w:rFonts w:ascii="Times New Roman" w:eastAsia="Arial" w:hAnsi="Times New Roman" w:cs="Times New Roman"/>
          <w:color w:val="auto"/>
          <w:sz w:val="24"/>
          <w:szCs w:val="24"/>
        </w:rPr>
        <w:t>junto a</w:t>
      </w:r>
      <w:r w:rsidR="002010B0" w:rsidRPr="007E56DA">
        <w:rPr>
          <w:rFonts w:ascii="Times New Roman" w:eastAsia="Arial" w:hAnsi="Times New Roman" w:cs="Times New Roman"/>
          <w:color w:val="auto"/>
          <w:sz w:val="24"/>
          <w:szCs w:val="24"/>
        </w:rPr>
        <w:t>l Papa Francisco</w:t>
      </w:r>
      <w:r w:rsidRPr="007E56DA">
        <w:rPr>
          <w:rFonts w:ascii="Times New Roman" w:eastAsia="Arial" w:hAnsi="Times New Roman" w:cs="Times New Roman"/>
          <w:color w:val="auto"/>
          <w:sz w:val="24"/>
          <w:szCs w:val="24"/>
        </w:rPr>
        <w:t xml:space="preserve"> y otras sobre las acciones de la f</w:t>
      </w:r>
      <w:r w:rsidR="002010B0" w:rsidRPr="007E56DA">
        <w:rPr>
          <w:rFonts w:ascii="Times New Roman" w:eastAsia="Arial" w:hAnsi="Times New Roman" w:cs="Times New Roman"/>
          <w:color w:val="auto"/>
          <w:sz w:val="24"/>
          <w:szCs w:val="24"/>
        </w:rPr>
        <w:t xml:space="preserve">undación </w:t>
      </w:r>
      <w:r w:rsidRPr="007E56DA">
        <w:rPr>
          <w:rFonts w:ascii="Times New Roman" w:eastAsia="Arial" w:hAnsi="Times New Roman" w:cs="Times New Roman"/>
          <w:color w:val="auto"/>
          <w:sz w:val="24"/>
          <w:szCs w:val="24"/>
        </w:rPr>
        <w:t xml:space="preserve">incluyendo </w:t>
      </w:r>
      <w:r w:rsidR="002010B0" w:rsidRPr="007E56DA">
        <w:rPr>
          <w:rFonts w:ascii="Times New Roman" w:eastAsia="Arial" w:hAnsi="Times New Roman" w:cs="Times New Roman"/>
          <w:color w:val="auto"/>
          <w:sz w:val="24"/>
          <w:szCs w:val="24"/>
        </w:rPr>
        <w:t>campañas realizadas por figuras del ambiente artístico</w:t>
      </w:r>
      <w:r w:rsidR="002010B0" w:rsidRPr="007E56DA">
        <w:rPr>
          <w:rFonts w:ascii="Times New Roman" w:eastAsia="Arial" w:hAnsi="Times New Roman" w:cs="Times New Roman"/>
          <w:color w:val="auto"/>
          <w:sz w:val="24"/>
          <w:szCs w:val="24"/>
          <w:vertAlign w:val="superscript"/>
        </w:rPr>
        <w:footnoteReference w:id="71"/>
      </w:r>
      <w:r w:rsidR="002010B0" w:rsidRPr="007E56DA">
        <w:rPr>
          <w:rFonts w:ascii="Times New Roman" w:eastAsia="Arial" w:hAnsi="Times New Roman" w:cs="Times New Roman"/>
          <w:color w:val="auto"/>
          <w:sz w:val="24"/>
          <w:szCs w:val="24"/>
        </w:rPr>
        <w:t xml:space="preserve"> en </w:t>
      </w:r>
      <w:r w:rsidR="00115113" w:rsidRPr="007E56DA">
        <w:rPr>
          <w:rFonts w:ascii="Times New Roman" w:eastAsia="Arial" w:hAnsi="Times New Roman" w:cs="Times New Roman"/>
          <w:color w:val="auto"/>
          <w:sz w:val="24"/>
          <w:szCs w:val="24"/>
        </w:rPr>
        <w:t>contra de la Trata de Personas.</w:t>
      </w:r>
    </w:p>
    <w:p w:rsidR="002010B0" w:rsidRPr="007E56DA" w:rsidRDefault="002010B0"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En la página web, en la sección “Que hacemos”, se prioriza la presentación de las actividades llevadas a cabo y la finalidad de la Fundación.</w:t>
      </w:r>
      <w:r w:rsidRPr="007E56DA">
        <w:rPr>
          <w:rFonts w:ascii="Times New Roman" w:eastAsia="Arial" w:hAnsi="Times New Roman" w:cs="Times New Roman"/>
          <w:i/>
          <w:color w:val="auto"/>
          <w:sz w:val="24"/>
          <w:szCs w:val="24"/>
        </w:rPr>
        <w:t xml:space="preserve"> “Se creó la Fundación para brindar asistencia integral a las víctimas así como también recibir denuncias y ofrecer contención y asesoramiento a familiares</w:t>
      </w:r>
      <w:r w:rsidRPr="007E56DA">
        <w:rPr>
          <w:rFonts w:ascii="Times New Roman" w:eastAsia="Arial" w:hAnsi="Times New Roman" w:cs="Times New Roman"/>
          <w:i/>
          <w:color w:val="auto"/>
          <w:sz w:val="24"/>
          <w:szCs w:val="24"/>
          <w:vertAlign w:val="superscript"/>
        </w:rPr>
        <w:footnoteReference w:id="72"/>
      </w:r>
      <w:r w:rsidRPr="007E56DA">
        <w:rPr>
          <w:rFonts w:ascii="Times New Roman" w:eastAsia="Arial" w:hAnsi="Times New Roman" w:cs="Times New Roman"/>
          <w:i/>
          <w:color w:val="auto"/>
          <w:sz w:val="24"/>
          <w:szCs w:val="24"/>
        </w:rPr>
        <w:t>”</w:t>
      </w:r>
      <w:r w:rsidRPr="007E56DA">
        <w:rPr>
          <w:rFonts w:ascii="Times New Roman" w:eastAsia="Arial" w:hAnsi="Times New Roman" w:cs="Times New Roman"/>
          <w:color w:val="auto"/>
          <w:sz w:val="24"/>
          <w:szCs w:val="24"/>
        </w:rPr>
        <w:t>. El enunciador remarca un hacer: rescate de víctimas, asistencia legal, entrevistas, asistencia psicológica, capacitaciones, contención, refugios.</w:t>
      </w:r>
    </w:p>
    <w:p w:rsidR="00754CED" w:rsidRPr="007E56DA" w:rsidRDefault="00754CED" w:rsidP="00754CED">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lastRenderedPageBreak/>
        <w:t xml:space="preserve">Se presenta en la misma sección un </w:t>
      </w:r>
      <w:r w:rsidRPr="007E56DA">
        <w:rPr>
          <w:rFonts w:ascii="Times New Roman" w:eastAsia="Arial" w:hAnsi="Times New Roman" w:cs="Times New Roman"/>
          <w:i/>
          <w:color w:val="auto"/>
          <w:sz w:val="24"/>
          <w:szCs w:val="24"/>
        </w:rPr>
        <w:t>video de gestión institucional</w:t>
      </w:r>
      <w:r w:rsidRPr="007E56DA">
        <w:rPr>
          <w:rFonts w:ascii="Times New Roman" w:eastAsia="Arial" w:hAnsi="Times New Roman" w:cs="Times New Roman"/>
          <w:color w:val="auto"/>
          <w:sz w:val="24"/>
          <w:szCs w:val="24"/>
        </w:rPr>
        <w:t xml:space="preserve"> con una duración de 8 minutos que en un nosotros inclusivo da cuenta de lo realizado por la FMA. Describe las oficinas que abrieron, festivales y actos conmemorativos realizados en diferentes provincias. En ese video, por medio de la palabra de la misma Trimarco, se </w:t>
      </w:r>
      <w:r w:rsidRPr="007E56DA">
        <w:rPr>
          <w:rFonts w:ascii="Times New Roman" w:eastAsia="Arial" w:hAnsi="Times New Roman" w:cs="Times New Roman"/>
          <w:i/>
          <w:color w:val="auto"/>
          <w:sz w:val="24"/>
          <w:szCs w:val="24"/>
        </w:rPr>
        <w:t>agradecen</w:t>
      </w:r>
      <w:r w:rsidRPr="007E56DA">
        <w:rPr>
          <w:rFonts w:ascii="Times New Roman" w:eastAsia="Arial" w:hAnsi="Times New Roman" w:cs="Times New Roman"/>
          <w:color w:val="auto"/>
          <w:sz w:val="24"/>
          <w:szCs w:val="24"/>
        </w:rPr>
        <w:t xml:space="preserve"> los aportes del gobernador José Alperovich</w:t>
      </w:r>
      <w:r w:rsidR="00635199" w:rsidRPr="007E56DA">
        <w:rPr>
          <w:rFonts w:ascii="Times New Roman" w:eastAsia="Arial" w:hAnsi="Times New Roman" w:cs="Times New Roman"/>
          <w:color w:val="auto"/>
          <w:sz w:val="24"/>
          <w:szCs w:val="24"/>
        </w:rPr>
        <w:t xml:space="preserve"> y de su esposa –</w:t>
      </w:r>
      <w:r w:rsidRPr="007E56DA">
        <w:rPr>
          <w:rFonts w:ascii="Times New Roman" w:eastAsia="Arial" w:hAnsi="Times New Roman" w:cs="Times New Roman"/>
          <w:color w:val="auto"/>
          <w:sz w:val="24"/>
          <w:szCs w:val="24"/>
        </w:rPr>
        <w:t>de</w:t>
      </w:r>
      <w:r w:rsidR="002A73A5">
        <w:rPr>
          <w:rFonts w:ascii="Times New Roman" w:eastAsia="Arial" w:hAnsi="Times New Roman" w:cs="Times New Roman"/>
          <w:color w:val="auto"/>
          <w:sz w:val="24"/>
          <w:szCs w:val="24"/>
        </w:rPr>
        <w:t xml:space="preserve"> </w:t>
      </w:r>
      <w:r w:rsidRPr="007E56DA">
        <w:rPr>
          <w:rFonts w:ascii="Times New Roman" w:eastAsia="Arial" w:hAnsi="Times New Roman" w:cs="Times New Roman"/>
          <w:color w:val="auto"/>
          <w:sz w:val="24"/>
          <w:szCs w:val="24"/>
        </w:rPr>
        <w:t>quien se reconoce amiga</w:t>
      </w:r>
      <w:r w:rsidR="00635199" w:rsidRPr="007E56DA">
        <w:rPr>
          <w:rFonts w:ascii="Times New Roman" w:eastAsia="Arial" w:hAnsi="Times New Roman" w:cs="Times New Roman"/>
          <w:color w:val="auto"/>
          <w:sz w:val="24"/>
          <w:szCs w:val="24"/>
        </w:rPr>
        <w:t>-</w:t>
      </w:r>
      <w:r w:rsidRPr="007E56DA">
        <w:rPr>
          <w:rFonts w:ascii="Times New Roman" w:eastAsia="Arial" w:hAnsi="Times New Roman" w:cs="Times New Roman"/>
          <w:color w:val="auto"/>
          <w:sz w:val="24"/>
          <w:szCs w:val="24"/>
        </w:rPr>
        <w:t>, y de los presidentes Cristina Fernández y Néstor Kirchner. También enumera los diferentes convenios, capacitaciones, sensibilización del tema, capacitaciones en colegios</w:t>
      </w:r>
      <w:r w:rsidR="008C6E30" w:rsidRPr="007E56DA">
        <w:rPr>
          <w:rFonts w:ascii="Times New Roman" w:eastAsia="Arial" w:hAnsi="Times New Roman" w:cs="Times New Roman"/>
          <w:color w:val="auto"/>
          <w:sz w:val="24"/>
          <w:szCs w:val="24"/>
        </w:rPr>
        <w:t xml:space="preserve">, </w:t>
      </w:r>
      <w:r w:rsidRPr="007E56DA">
        <w:rPr>
          <w:rFonts w:ascii="Times New Roman" w:eastAsia="Arial" w:hAnsi="Times New Roman" w:cs="Times New Roman"/>
          <w:color w:val="auto"/>
          <w:sz w:val="24"/>
          <w:szCs w:val="24"/>
        </w:rPr>
        <w:t>universidades</w:t>
      </w:r>
      <w:r w:rsidR="008C6E30" w:rsidRPr="007E56DA">
        <w:rPr>
          <w:rFonts w:ascii="Times New Roman" w:eastAsia="Arial" w:hAnsi="Times New Roman" w:cs="Times New Roman"/>
          <w:color w:val="auto"/>
          <w:sz w:val="24"/>
          <w:szCs w:val="24"/>
        </w:rPr>
        <w:t xml:space="preserve"> y </w:t>
      </w:r>
      <w:r w:rsidRPr="007E56DA">
        <w:rPr>
          <w:rFonts w:ascii="Times New Roman" w:eastAsia="Arial" w:hAnsi="Times New Roman" w:cs="Times New Roman"/>
          <w:color w:val="auto"/>
          <w:sz w:val="24"/>
          <w:szCs w:val="24"/>
        </w:rPr>
        <w:t xml:space="preserve">reconocimientos recibidos. </w:t>
      </w:r>
    </w:p>
    <w:p w:rsidR="00754CED" w:rsidRPr="007E56DA" w:rsidRDefault="00754CED" w:rsidP="006B20D6">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Además, se presenta la </w:t>
      </w:r>
      <w:r w:rsidRPr="007E56DA">
        <w:rPr>
          <w:rFonts w:ascii="Times New Roman" w:hAnsi="Times New Roman" w:cs="Times New Roman"/>
          <w:i/>
          <w:color w:val="auto"/>
          <w:sz w:val="24"/>
          <w:szCs w:val="24"/>
        </w:rPr>
        <w:t>vinculación con otros organismos</w:t>
      </w:r>
      <w:r w:rsidRPr="007E56DA">
        <w:rPr>
          <w:rFonts w:ascii="Times New Roman" w:hAnsi="Times New Roman" w:cs="Times New Roman"/>
          <w:color w:val="auto"/>
          <w:sz w:val="24"/>
          <w:szCs w:val="24"/>
        </w:rPr>
        <w:t xml:space="preserve"> como</w:t>
      </w:r>
      <w:r w:rsidR="006B20D6" w:rsidRPr="007E56DA">
        <w:rPr>
          <w:rFonts w:ascii="Times New Roman" w:hAnsi="Times New Roman" w:cs="Times New Roman"/>
          <w:color w:val="auto"/>
          <w:sz w:val="24"/>
          <w:szCs w:val="24"/>
        </w:rPr>
        <w:t xml:space="preserve"> la Organización Internacional para las Migraciones, el Programa Nacional de Rescate y Acompañamiento a Personas Damnificadas por el Delito de Trata de Personas y la Procuraduría para el Combate de la Trata y Explotación de Personas.</w:t>
      </w:r>
    </w:p>
    <w:p w:rsidR="002010B0" w:rsidRPr="007E56DA" w:rsidRDefault="00C305B1" w:rsidP="0065650C">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Por último, la página proporciona una </w:t>
      </w:r>
      <w:r w:rsidRPr="007E56DA">
        <w:rPr>
          <w:rFonts w:ascii="Times New Roman" w:eastAsia="Arial" w:hAnsi="Times New Roman" w:cs="Times New Roman"/>
          <w:i/>
          <w:color w:val="auto"/>
          <w:sz w:val="24"/>
          <w:szCs w:val="24"/>
        </w:rPr>
        <w:t>vía de contacto</w:t>
      </w:r>
      <w:r w:rsidRPr="007E56DA">
        <w:rPr>
          <w:rFonts w:ascii="Times New Roman" w:eastAsia="Arial" w:hAnsi="Times New Roman" w:cs="Times New Roman"/>
          <w:color w:val="auto"/>
          <w:sz w:val="24"/>
          <w:szCs w:val="24"/>
        </w:rPr>
        <w:t xml:space="preserve"> con la fundación y hace explícito el recurso de las </w:t>
      </w:r>
      <w:r w:rsidRPr="007E56DA">
        <w:rPr>
          <w:rFonts w:ascii="Times New Roman" w:eastAsia="Arial" w:hAnsi="Times New Roman" w:cs="Times New Roman"/>
          <w:i/>
          <w:color w:val="auto"/>
          <w:sz w:val="24"/>
          <w:szCs w:val="24"/>
        </w:rPr>
        <w:t>donaciones de dinero</w:t>
      </w:r>
      <w:r w:rsidRPr="007E56DA">
        <w:rPr>
          <w:rFonts w:ascii="Times New Roman" w:eastAsia="Arial" w:hAnsi="Times New Roman" w:cs="Times New Roman"/>
          <w:color w:val="auto"/>
          <w:sz w:val="24"/>
          <w:szCs w:val="24"/>
        </w:rPr>
        <w:t xml:space="preserve"> como uno de sus medios de sustento: para incentivar este tipo de aportes, en la página se explica de manera sencilla el procedimiento para donar y, además, se realizan </w:t>
      </w:r>
      <w:r w:rsidRPr="007E56DA">
        <w:rPr>
          <w:rFonts w:ascii="Times New Roman" w:eastAsia="Arial" w:hAnsi="Times New Roman" w:cs="Times New Roman"/>
          <w:i/>
          <w:color w:val="auto"/>
          <w:sz w:val="24"/>
          <w:szCs w:val="24"/>
        </w:rPr>
        <w:t>campañas en las que participan figuras públicas</w:t>
      </w:r>
      <w:r w:rsidRPr="007E56DA">
        <w:rPr>
          <w:rFonts w:ascii="Times New Roman" w:eastAsia="Arial" w:hAnsi="Times New Roman" w:cs="Times New Roman"/>
          <w:color w:val="auto"/>
          <w:sz w:val="24"/>
          <w:szCs w:val="24"/>
        </w:rPr>
        <w:t xml:space="preserve"> solicitando este tipo de colaboración</w:t>
      </w:r>
      <w:r w:rsidR="00396CD9" w:rsidRPr="007E56DA">
        <w:rPr>
          <w:rFonts w:ascii="Times New Roman" w:eastAsia="Arial" w:hAnsi="Times New Roman" w:cs="Times New Roman"/>
          <w:color w:val="auto"/>
          <w:sz w:val="24"/>
          <w:szCs w:val="24"/>
        </w:rPr>
        <w:t>.</w:t>
      </w:r>
    </w:p>
    <w:p w:rsidR="00205FE8" w:rsidRPr="007E56DA" w:rsidRDefault="00720492" w:rsidP="00F17871">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Al c</w:t>
      </w:r>
      <w:r w:rsidR="007723FB" w:rsidRPr="007E56DA">
        <w:rPr>
          <w:rFonts w:ascii="Times New Roman" w:hAnsi="Times New Roman" w:cs="Times New Roman"/>
          <w:color w:val="auto"/>
          <w:sz w:val="24"/>
          <w:szCs w:val="24"/>
        </w:rPr>
        <w:t>ompara</w:t>
      </w:r>
      <w:r w:rsidRPr="007E56DA">
        <w:rPr>
          <w:rFonts w:ascii="Times New Roman" w:hAnsi="Times New Roman" w:cs="Times New Roman"/>
          <w:color w:val="auto"/>
          <w:sz w:val="24"/>
          <w:szCs w:val="24"/>
        </w:rPr>
        <w:t xml:space="preserve">r </w:t>
      </w:r>
      <w:r w:rsidR="007723FB" w:rsidRPr="007E56DA">
        <w:rPr>
          <w:rFonts w:ascii="Times New Roman" w:hAnsi="Times New Roman" w:cs="Times New Roman"/>
          <w:color w:val="auto"/>
          <w:sz w:val="24"/>
          <w:szCs w:val="24"/>
        </w:rPr>
        <w:t>las estrategi</w:t>
      </w:r>
      <w:r w:rsidRPr="007E56DA">
        <w:rPr>
          <w:rFonts w:ascii="Times New Roman" w:hAnsi="Times New Roman" w:cs="Times New Roman"/>
          <w:color w:val="auto"/>
          <w:sz w:val="24"/>
          <w:szCs w:val="24"/>
        </w:rPr>
        <w:t>as de ambas OSC, pudimos reconocer un conjunto de acciones comunes como el desarrollo de estrategias</w:t>
      </w:r>
      <w:r w:rsidR="002A73A5">
        <w:rPr>
          <w:rFonts w:ascii="Times New Roman" w:hAnsi="Times New Roman" w:cs="Times New Roman"/>
          <w:color w:val="auto"/>
          <w:sz w:val="24"/>
          <w:szCs w:val="24"/>
        </w:rPr>
        <w:t xml:space="preserve"> </w:t>
      </w:r>
      <w:r w:rsidRPr="007E56DA">
        <w:rPr>
          <w:rFonts w:ascii="Times New Roman" w:hAnsi="Times New Roman" w:cs="Times New Roman"/>
          <w:color w:val="auto"/>
          <w:sz w:val="24"/>
          <w:szCs w:val="24"/>
        </w:rPr>
        <w:t>de alianza</w:t>
      </w:r>
      <w:r w:rsidR="0054654A" w:rsidRPr="007E56DA">
        <w:rPr>
          <w:rFonts w:ascii="Times New Roman" w:hAnsi="Times New Roman" w:cs="Times New Roman"/>
          <w:color w:val="auto"/>
          <w:sz w:val="24"/>
          <w:szCs w:val="24"/>
        </w:rPr>
        <w:t xml:space="preserve"> con otros agentes sociales, de a</w:t>
      </w:r>
      <w:r w:rsidR="00784334" w:rsidRPr="007E56DA">
        <w:rPr>
          <w:rFonts w:ascii="Times New Roman" w:hAnsi="Times New Roman" w:cs="Times New Roman"/>
          <w:color w:val="auto"/>
          <w:sz w:val="24"/>
          <w:szCs w:val="24"/>
        </w:rPr>
        <w:t xml:space="preserve">cercamiento al </w:t>
      </w:r>
      <w:r w:rsidR="009667E3" w:rsidRPr="007E56DA">
        <w:rPr>
          <w:rFonts w:ascii="Times New Roman" w:hAnsi="Times New Roman" w:cs="Times New Roman"/>
          <w:color w:val="auto"/>
          <w:sz w:val="24"/>
          <w:szCs w:val="24"/>
        </w:rPr>
        <w:t>gobierno a cargo del Estado</w:t>
      </w:r>
      <w:r w:rsidR="0054654A" w:rsidRPr="007E56DA">
        <w:rPr>
          <w:rFonts w:ascii="Times New Roman" w:hAnsi="Times New Roman" w:cs="Times New Roman"/>
          <w:color w:val="auto"/>
          <w:sz w:val="24"/>
          <w:szCs w:val="24"/>
        </w:rPr>
        <w:t xml:space="preserve">, </w:t>
      </w:r>
      <w:r w:rsidR="009667E3" w:rsidRPr="007E56DA">
        <w:rPr>
          <w:rFonts w:ascii="Times New Roman" w:hAnsi="Times New Roman" w:cs="Times New Roman"/>
          <w:color w:val="auto"/>
          <w:sz w:val="24"/>
          <w:szCs w:val="24"/>
        </w:rPr>
        <w:t xml:space="preserve">pero también, </w:t>
      </w:r>
      <w:r w:rsidR="0054654A" w:rsidRPr="007E56DA">
        <w:rPr>
          <w:rFonts w:ascii="Times New Roman" w:hAnsi="Times New Roman" w:cs="Times New Roman"/>
          <w:color w:val="auto"/>
          <w:sz w:val="24"/>
          <w:szCs w:val="24"/>
        </w:rPr>
        <w:t xml:space="preserve">de denuncia </w:t>
      </w:r>
      <w:r w:rsidR="009667E3" w:rsidRPr="007E56DA">
        <w:rPr>
          <w:rFonts w:ascii="Times New Roman" w:hAnsi="Times New Roman" w:cs="Times New Roman"/>
          <w:color w:val="auto"/>
          <w:sz w:val="24"/>
          <w:szCs w:val="24"/>
        </w:rPr>
        <w:t>de sectores de la misma estructura estatal</w:t>
      </w:r>
      <w:r w:rsidR="0054654A" w:rsidRPr="007E56DA">
        <w:rPr>
          <w:rFonts w:ascii="Times New Roman" w:hAnsi="Times New Roman" w:cs="Times New Roman"/>
          <w:color w:val="auto"/>
          <w:sz w:val="24"/>
          <w:szCs w:val="24"/>
        </w:rPr>
        <w:t>, estrategias de expansión territorial (</w:t>
      </w:r>
      <w:r w:rsidR="00784334" w:rsidRPr="007E56DA">
        <w:rPr>
          <w:rFonts w:ascii="Times New Roman" w:hAnsi="Times New Roman" w:cs="Times New Roman"/>
          <w:color w:val="auto"/>
          <w:sz w:val="24"/>
          <w:szCs w:val="24"/>
        </w:rPr>
        <w:t xml:space="preserve">ambas conformaron sedes en </w:t>
      </w:r>
      <w:r w:rsidR="00F17871" w:rsidRPr="007E56DA">
        <w:rPr>
          <w:rFonts w:ascii="Times New Roman" w:hAnsi="Times New Roman" w:cs="Times New Roman"/>
          <w:color w:val="auto"/>
          <w:sz w:val="24"/>
          <w:szCs w:val="24"/>
        </w:rPr>
        <w:t>distintos puntos del país</w:t>
      </w:r>
      <w:r w:rsidR="0054654A" w:rsidRPr="007E56DA">
        <w:rPr>
          <w:rFonts w:ascii="Times New Roman" w:hAnsi="Times New Roman" w:cs="Times New Roman"/>
          <w:color w:val="auto"/>
          <w:sz w:val="24"/>
          <w:szCs w:val="24"/>
        </w:rPr>
        <w:t xml:space="preserve">), estrategias de implicancia de los </w:t>
      </w:r>
      <w:r w:rsidR="00EA25F9" w:rsidRPr="007E56DA">
        <w:rPr>
          <w:rFonts w:ascii="Times New Roman" w:hAnsi="Times New Roman" w:cs="Times New Roman"/>
          <w:color w:val="auto"/>
          <w:sz w:val="24"/>
          <w:szCs w:val="24"/>
        </w:rPr>
        <w:t xml:space="preserve">actores </w:t>
      </w:r>
      <w:r w:rsidR="0054654A" w:rsidRPr="007E56DA">
        <w:rPr>
          <w:rFonts w:ascii="Times New Roman" w:hAnsi="Times New Roman" w:cs="Times New Roman"/>
          <w:color w:val="auto"/>
          <w:sz w:val="24"/>
          <w:szCs w:val="24"/>
        </w:rPr>
        <w:t xml:space="preserve">involucrados, de </w:t>
      </w:r>
      <w:r w:rsidR="001171CC" w:rsidRPr="007E56DA">
        <w:rPr>
          <w:rFonts w:ascii="Times New Roman" w:hAnsi="Times New Roman" w:cs="Times New Roman"/>
          <w:color w:val="auto"/>
          <w:sz w:val="24"/>
          <w:szCs w:val="24"/>
        </w:rPr>
        <w:t>producción de docume</w:t>
      </w:r>
      <w:r w:rsidR="000A096B" w:rsidRPr="007E56DA">
        <w:rPr>
          <w:rFonts w:ascii="Times New Roman" w:hAnsi="Times New Roman" w:cs="Times New Roman"/>
          <w:color w:val="auto"/>
          <w:sz w:val="24"/>
          <w:szCs w:val="24"/>
        </w:rPr>
        <w:t xml:space="preserve">ntos de formación y divulgación y </w:t>
      </w:r>
      <w:r w:rsidR="0054654A" w:rsidRPr="007E56DA">
        <w:rPr>
          <w:rFonts w:ascii="Times New Roman" w:hAnsi="Times New Roman" w:cs="Times New Roman"/>
          <w:color w:val="auto"/>
          <w:sz w:val="24"/>
          <w:szCs w:val="24"/>
        </w:rPr>
        <w:t>estrategias de</w:t>
      </w:r>
      <w:r w:rsidR="000A096B" w:rsidRPr="007E56DA">
        <w:rPr>
          <w:rFonts w:ascii="Times New Roman" w:hAnsi="Times New Roman" w:cs="Times New Roman"/>
          <w:color w:val="auto"/>
          <w:sz w:val="24"/>
          <w:szCs w:val="24"/>
        </w:rPr>
        <w:t xml:space="preserve"> visibilización en medios de prensa. </w:t>
      </w:r>
    </w:p>
    <w:p w:rsidR="00205FE8" w:rsidRPr="007E56DA" w:rsidRDefault="00205FE8" w:rsidP="00F17871">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También </w:t>
      </w:r>
      <w:r w:rsidR="000A096B" w:rsidRPr="007E56DA">
        <w:rPr>
          <w:rFonts w:ascii="Times New Roman" w:hAnsi="Times New Roman" w:cs="Times New Roman"/>
          <w:color w:val="auto"/>
          <w:sz w:val="24"/>
          <w:szCs w:val="24"/>
        </w:rPr>
        <w:t xml:space="preserve">destacamos como estrategia común </w:t>
      </w:r>
      <w:r w:rsidR="0054654A" w:rsidRPr="007E56DA">
        <w:rPr>
          <w:rFonts w:ascii="Times New Roman" w:hAnsi="Times New Roman" w:cs="Times New Roman"/>
          <w:color w:val="auto"/>
          <w:sz w:val="24"/>
          <w:szCs w:val="24"/>
        </w:rPr>
        <w:t xml:space="preserve">la creación de una página web como espacio de construcción de la propia imagen y </w:t>
      </w:r>
      <w:r w:rsidRPr="007E56DA">
        <w:rPr>
          <w:rFonts w:ascii="Times New Roman" w:hAnsi="Times New Roman" w:cs="Times New Roman"/>
          <w:color w:val="auto"/>
          <w:sz w:val="24"/>
          <w:szCs w:val="24"/>
        </w:rPr>
        <w:t xml:space="preserve">propia </w:t>
      </w:r>
      <w:r w:rsidR="0054654A" w:rsidRPr="007E56DA">
        <w:rPr>
          <w:rFonts w:ascii="Times New Roman" w:hAnsi="Times New Roman" w:cs="Times New Roman"/>
          <w:color w:val="auto"/>
          <w:sz w:val="24"/>
          <w:szCs w:val="24"/>
        </w:rPr>
        <w:t xml:space="preserve">competencia, </w:t>
      </w:r>
      <w:r w:rsidRPr="007E56DA">
        <w:rPr>
          <w:rFonts w:ascii="Times New Roman" w:hAnsi="Times New Roman" w:cs="Times New Roman"/>
          <w:color w:val="auto"/>
          <w:sz w:val="24"/>
          <w:szCs w:val="24"/>
        </w:rPr>
        <w:t xml:space="preserve">su propia </w:t>
      </w:r>
      <w:r w:rsidR="0054654A" w:rsidRPr="007E56DA">
        <w:rPr>
          <w:rFonts w:ascii="Times New Roman" w:hAnsi="Times New Roman" w:cs="Times New Roman"/>
          <w:color w:val="auto"/>
          <w:sz w:val="24"/>
          <w:szCs w:val="24"/>
        </w:rPr>
        <w:t xml:space="preserve">historia y </w:t>
      </w:r>
      <w:r w:rsidRPr="007E56DA">
        <w:rPr>
          <w:rFonts w:ascii="Times New Roman" w:hAnsi="Times New Roman" w:cs="Times New Roman"/>
          <w:color w:val="auto"/>
          <w:sz w:val="24"/>
          <w:szCs w:val="24"/>
        </w:rPr>
        <w:t>actualidad, d</w:t>
      </w:r>
      <w:r w:rsidR="0054654A" w:rsidRPr="007E56DA">
        <w:rPr>
          <w:rFonts w:ascii="Times New Roman" w:hAnsi="Times New Roman" w:cs="Times New Roman"/>
          <w:color w:val="auto"/>
          <w:sz w:val="24"/>
          <w:szCs w:val="24"/>
        </w:rPr>
        <w:t>e fundamentación de sus propósitos, de divulgación de sus acciones, reconocimientos y apoyo recibido por parte de otros actores</w:t>
      </w:r>
      <w:r w:rsidRPr="007E56DA">
        <w:rPr>
          <w:rFonts w:ascii="Times New Roman" w:hAnsi="Times New Roman" w:cs="Times New Roman"/>
          <w:color w:val="auto"/>
          <w:sz w:val="24"/>
          <w:szCs w:val="24"/>
        </w:rPr>
        <w:t xml:space="preserve"> sociales relevantes y de</w:t>
      </w:r>
      <w:r w:rsidR="0054654A" w:rsidRPr="007E56DA">
        <w:rPr>
          <w:rFonts w:ascii="Times New Roman" w:hAnsi="Times New Roman" w:cs="Times New Roman"/>
          <w:color w:val="auto"/>
          <w:sz w:val="24"/>
          <w:szCs w:val="24"/>
        </w:rPr>
        <w:t xml:space="preserve"> generación de una vía contacto y de obtención de recursos económicos (FMA)</w:t>
      </w:r>
      <w:r w:rsidR="000A096B" w:rsidRPr="007E56DA">
        <w:rPr>
          <w:rFonts w:ascii="Times New Roman" w:hAnsi="Times New Roman" w:cs="Times New Roman"/>
          <w:color w:val="auto"/>
          <w:sz w:val="24"/>
          <w:szCs w:val="24"/>
        </w:rPr>
        <w:t>.</w:t>
      </w:r>
    </w:p>
    <w:p w:rsidR="00246CC7" w:rsidRPr="007E56DA" w:rsidRDefault="00205FE8" w:rsidP="00352F89">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Sin embargo, las alianzas que ambas OSC buscaron desarrollar fueron de distinto tipo: </w:t>
      </w:r>
      <w:r w:rsidR="0054654A" w:rsidRPr="007E56DA">
        <w:rPr>
          <w:rFonts w:ascii="Times New Roman" w:hAnsi="Times New Roman" w:cs="Times New Roman"/>
          <w:color w:val="auto"/>
          <w:sz w:val="24"/>
          <w:szCs w:val="24"/>
        </w:rPr>
        <w:t>AJL</w:t>
      </w:r>
      <w:r w:rsidRPr="007E56DA">
        <w:rPr>
          <w:rFonts w:ascii="Times New Roman" w:hAnsi="Times New Roman" w:cs="Times New Roman"/>
          <w:color w:val="auto"/>
          <w:sz w:val="24"/>
          <w:szCs w:val="24"/>
        </w:rPr>
        <w:t xml:space="preserve">, </w:t>
      </w:r>
      <w:r w:rsidR="0054654A" w:rsidRPr="007E56DA">
        <w:rPr>
          <w:rFonts w:ascii="Times New Roman" w:hAnsi="Times New Roman" w:cs="Times New Roman"/>
          <w:color w:val="auto"/>
          <w:sz w:val="24"/>
          <w:szCs w:val="24"/>
        </w:rPr>
        <w:t>convoca</w:t>
      </w:r>
      <w:r w:rsidRPr="007E56DA">
        <w:rPr>
          <w:rFonts w:ascii="Times New Roman" w:hAnsi="Times New Roman" w:cs="Times New Roman"/>
          <w:color w:val="auto"/>
          <w:sz w:val="24"/>
          <w:szCs w:val="24"/>
        </w:rPr>
        <w:t xml:space="preserve">ndo </w:t>
      </w:r>
      <w:r w:rsidR="0054654A" w:rsidRPr="007E56DA">
        <w:rPr>
          <w:rFonts w:ascii="Times New Roman" w:hAnsi="Times New Roman" w:cs="Times New Roman"/>
          <w:color w:val="auto"/>
          <w:sz w:val="24"/>
          <w:szCs w:val="24"/>
        </w:rPr>
        <w:t xml:space="preserve">a otros actores sociales históricamente excluidos de estos debates, </w:t>
      </w:r>
      <w:r w:rsidRPr="007E56DA">
        <w:rPr>
          <w:rFonts w:ascii="Times New Roman" w:hAnsi="Times New Roman" w:cs="Times New Roman"/>
          <w:color w:val="auto"/>
          <w:sz w:val="24"/>
          <w:szCs w:val="24"/>
        </w:rPr>
        <w:t xml:space="preserve">y </w:t>
      </w:r>
      <w:r w:rsidR="0054654A" w:rsidRPr="007E56DA">
        <w:rPr>
          <w:rFonts w:ascii="Times New Roman" w:hAnsi="Times New Roman" w:cs="Times New Roman"/>
          <w:color w:val="auto"/>
          <w:sz w:val="24"/>
          <w:szCs w:val="24"/>
        </w:rPr>
        <w:t>la FMA</w:t>
      </w:r>
      <w:r w:rsidRPr="007E56DA">
        <w:rPr>
          <w:rFonts w:ascii="Times New Roman" w:hAnsi="Times New Roman" w:cs="Times New Roman"/>
          <w:color w:val="auto"/>
          <w:sz w:val="24"/>
          <w:szCs w:val="24"/>
        </w:rPr>
        <w:t>, vinculándose a</w:t>
      </w:r>
      <w:r w:rsidR="002A73A5">
        <w:rPr>
          <w:rFonts w:ascii="Times New Roman" w:hAnsi="Times New Roman" w:cs="Times New Roman"/>
          <w:color w:val="auto"/>
          <w:sz w:val="24"/>
          <w:szCs w:val="24"/>
        </w:rPr>
        <w:t xml:space="preserve"> </w:t>
      </w:r>
      <w:r w:rsidRPr="007E56DA">
        <w:rPr>
          <w:rFonts w:ascii="Times New Roman" w:hAnsi="Times New Roman" w:cs="Times New Roman"/>
          <w:color w:val="auto"/>
          <w:sz w:val="24"/>
          <w:szCs w:val="24"/>
        </w:rPr>
        <w:t xml:space="preserve">actores </w:t>
      </w:r>
      <w:r w:rsidR="0054654A" w:rsidRPr="007E56DA">
        <w:rPr>
          <w:rFonts w:ascii="Times New Roman" w:hAnsi="Times New Roman" w:cs="Times New Roman"/>
          <w:color w:val="auto"/>
          <w:sz w:val="24"/>
          <w:szCs w:val="24"/>
        </w:rPr>
        <w:t>influyentes en su entorno inmediato, primero</w:t>
      </w:r>
      <w:r w:rsidRPr="007E56DA">
        <w:rPr>
          <w:rFonts w:ascii="Times New Roman" w:hAnsi="Times New Roman" w:cs="Times New Roman"/>
          <w:color w:val="auto"/>
          <w:sz w:val="24"/>
          <w:szCs w:val="24"/>
        </w:rPr>
        <w:t>,</w:t>
      </w:r>
      <w:r w:rsidR="0054654A" w:rsidRPr="007E56DA">
        <w:rPr>
          <w:rFonts w:ascii="Times New Roman" w:hAnsi="Times New Roman" w:cs="Times New Roman"/>
          <w:color w:val="auto"/>
          <w:sz w:val="24"/>
          <w:szCs w:val="24"/>
        </w:rPr>
        <w:t xml:space="preserve"> y </w:t>
      </w:r>
      <w:r w:rsidRPr="007E56DA">
        <w:rPr>
          <w:rFonts w:ascii="Times New Roman" w:hAnsi="Times New Roman" w:cs="Times New Roman"/>
          <w:color w:val="auto"/>
          <w:sz w:val="24"/>
          <w:szCs w:val="24"/>
        </w:rPr>
        <w:t xml:space="preserve">a </w:t>
      </w:r>
      <w:r w:rsidR="0054654A" w:rsidRPr="007E56DA">
        <w:rPr>
          <w:rFonts w:ascii="Times New Roman" w:hAnsi="Times New Roman" w:cs="Times New Roman"/>
          <w:color w:val="auto"/>
          <w:sz w:val="24"/>
          <w:szCs w:val="24"/>
        </w:rPr>
        <w:t>figuras públicas</w:t>
      </w:r>
      <w:r w:rsidRPr="007E56DA">
        <w:rPr>
          <w:rFonts w:ascii="Times New Roman" w:hAnsi="Times New Roman" w:cs="Times New Roman"/>
          <w:color w:val="auto"/>
          <w:sz w:val="24"/>
          <w:szCs w:val="24"/>
        </w:rPr>
        <w:t xml:space="preserve"> (políticos, artistas, y otras organizaciones sociales) con mayor poder relativo en </w:t>
      </w:r>
      <w:r w:rsidRPr="007E56DA">
        <w:rPr>
          <w:rFonts w:ascii="Times New Roman" w:hAnsi="Times New Roman" w:cs="Times New Roman"/>
          <w:color w:val="auto"/>
          <w:sz w:val="24"/>
          <w:szCs w:val="24"/>
        </w:rPr>
        <w:lastRenderedPageBreak/>
        <w:t xml:space="preserve">otros sistemas de relaciones y que le permitieron mejorar sus posibilidades de </w:t>
      </w:r>
      <w:r w:rsidRPr="007E56DA">
        <w:rPr>
          <w:rFonts w:ascii="Times New Roman" w:hAnsi="Times New Roman" w:cs="Times New Roman"/>
          <w:i/>
          <w:color w:val="auto"/>
          <w:sz w:val="24"/>
          <w:szCs w:val="24"/>
        </w:rPr>
        <w:t>ser</w:t>
      </w:r>
      <w:r w:rsidRPr="007E56DA">
        <w:rPr>
          <w:rFonts w:ascii="Times New Roman" w:hAnsi="Times New Roman" w:cs="Times New Roman"/>
          <w:color w:val="auto"/>
          <w:sz w:val="24"/>
          <w:szCs w:val="24"/>
        </w:rPr>
        <w:t xml:space="preserve"> públicamente y de </w:t>
      </w:r>
      <w:r w:rsidRPr="007E56DA">
        <w:rPr>
          <w:rFonts w:ascii="Times New Roman" w:hAnsi="Times New Roman" w:cs="Times New Roman"/>
          <w:i/>
          <w:color w:val="auto"/>
          <w:sz w:val="24"/>
          <w:szCs w:val="24"/>
        </w:rPr>
        <w:t>hacer.</w:t>
      </w:r>
    </w:p>
    <w:p w:rsidR="00352F89" w:rsidRPr="007E56DA" w:rsidRDefault="00CE429B" w:rsidP="00352F89">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Asimismo, la FMA realizó a</w:t>
      </w:r>
      <w:r w:rsidR="00352F89" w:rsidRPr="007E56DA">
        <w:rPr>
          <w:rFonts w:ascii="Times New Roman" w:hAnsi="Times New Roman" w:cs="Times New Roman"/>
          <w:color w:val="auto"/>
          <w:sz w:val="24"/>
          <w:szCs w:val="24"/>
        </w:rPr>
        <w:t>cciones en red con otras organizaciones con trayectoria en el tema</w:t>
      </w:r>
      <w:r w:rsidRPr="007E56DA">
        <w:rPr>
          <w:rFonts w:ascii="Times New Roman" w:hAnsi="Times New Roman" w:cs="Times New Roman"/>
          <w:color w:val="auto"/>
          <w:sz w:val="24"/>
          <w:szCs w:val="24"/>
        </w:rPr>
        <w:t xml:space="preserve">, coherente </w:t>
      </w:r>
      <w:r w:rsidR="00352F89" w:rsidRPr="007E56DA">
        <w:rPr>
          <w:rFonts w:ascii="Times New Roman" w:hAnsi="Times New Roman" w:cs="Times New Roman"/>
          <w:color w:val="auto"/>
          <w:sz w:val="24"/>
          <w:szCs w:val="24"/>
        </w:rPr>
        <w:t xml:space="preserve">con su apuesta por </w:t>
      </w:r>
      <w:r w:rsidR="00246CC7" w:rsidRPr="007E56DA">
        <w:rPr>
          <w:rFonts w:ascii="Times New Roman" w:hAnsi="Times New Roman" w:cs="Times New Roman"/>
          <w:color w:val="auto"/>
          <w:sz w:val="24"/>
          <w:szCs w:val="24"/>
        </w:rPr>
        <w:t>desarrollar sus propias</w:t>
      </w:r>
      <w:r w:rsidR="00352F89" w:rsidRPr="007E56DA">
        <w:rPr>
          <w:rFonts w:ascii="Times New Roman" w:hAnsi="Times New Roman" w:cs="Times New Roman"/>
          <w:color w:val="auto"/>
          <w:sz w:val="24"/>
          <w:szCs w:val="24"/>
        </w:rPr>
        <w:t xml:space="preserve"> competencias en este campo; mientras que </w:t>
      </w:r>
      <w:r w:rsidR="00246CC7" w:rsidRPr="007E56DA">
        <w:rPr>
          <w:rFonts w:ascii="Times New Roman" w:hAnsi="Times New Roman" w:cs="Times New Roman"/>
          <w:color w:val="auto"/>
          <w:sz w:val="24"/>
          <w:szCs w:val="24"/>
        </w:rPr>
        <w:t xml:space="preserve">la AJL </w:t>
      </w:r>
      <w:r w:rsidR="00352F89" w:rsidRPr="007E56DA">
        <w:rPr>
          <w:rFonts w:ascii="Times New Roman" w:hAnsi="Times New Roman" w:cs="Times New Roman"/>
          <w:color w:val="auto"/>
          <w:sz w:val="24"/>
          <w:szCs w:val="24"/>
        </w:rPr>
        <w:t>se vinculó con otras organizaciones sociales</w:t>
      </w:r>
      <w:r w:rsidRPr="007E56DA">
        <w:rPr>
          <w:rFonts w:ascii="Times New Roman" w:hAnsi="Times New Roman" w:cs="Times New Roman"/>
          <w:color w:val="auto"/>
          <w:sz w:val="24"/>
          <w:szCs w:val="24"/>
        </w:rPr>
        <w:t xml:space="preserve">, coherente </w:t>
      </w:r>
      <w:r w:rsidR="007C5532" w:rsidRPr="007E56DA">
        <w:rPr>
          <w:rFonts w:ascii="Times New Roman" w:hAnsi="Times New Roman" w:cs="Times New Roman"/>
          <w:color w:val="auto"/>
          <w:sz w:val="24"/>
          <w:szCs w:val="24"/>
        </w:rPr>
        <w:t>con su apuesta por convert</w:t>
      </w:r>
      <w:r w:rsidR="00352F89" w:rsidRPr="007E56DA">
        <w:rPr>
          <w:rFonts w:ascii="Times New Roman" w:hAnsi="Times New Roman" w:cs="Times New Roman"/>
          <w:color w:val="auto"/>
          <w:sz w:val="24"/>
          <w:szCs w:val="24"/>
        </w:rPr>
        <w:t>irse en propulsora de la ampliación de los debates en otros sectores sociales.</w:t>
      </w:r>
    </w:p>
    <w:p w:rsidR="00E95502" w:rsidRPr="007E56DA" w:rsidRDefault="00415F32" w:rsidP="00E95502">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Por último</w:t>
      </w:r>
      <w:r w:rsidR="0095206E" w:rsidRPr="007E56DA">
        <w:rPr>
          <w:rFonts w:ascii="Times New Roman" w:hAnsi="Times New Roman" w:cs="Times New Roman"/>
          <w:color w:val="auto"/>
          <w:sz w:val="24"/>
          <w:szCs w:val="24"/>
        </w:rPr>
        <w:t>, también advertimos diferencias en las estrategias de visibilización mediática: mientras que la FMA debió gestionarla poniendo mucho más en juego sus propias competencias y que, al conseguirla, fue siempre legitimante de su lucha: la AJL contó con presencia en la prensa desde su surgimiento, pero tanto a favor como en contra de sus propuestas y acciones.</w:t>
      </w:r>
      <w:r w:rsidR="002A73A5">
        <w:rPr>
          <w:rFonts w:ascii="Times New Roman" w:hAnsi="Times New Roman" w:cs="Times New Roman"/>
          <w:color w:val="auto"/>
          <w:sz w:val="24"/>
          <w:szCs w:val="24"/>
        </w:rPr>
        <w:t xml:space="preserve"> </w:t>
      </w:r>
      <w:r w:rsidR="0011765C" w:rsidRPr="007E56DA">
        <w:rPr>
          <w:rFonts w:ascii="Times New Roman" w:hAnsi="Times New Roman" w:cs="Times New Roman"/>
          <w:color w:val="auto"/>
          <w:sz w:val="24"/>
          <w:szCs w:val="24"/>
        </w:rPr>
        <w:t xml:space="preserve">En estos casos, y a diferencia de la FMA, Justicia Legítima sí se vio en la necesidad de desplegar estrategias orientadas a responder a las críticas </w:t>
      </w:r>
      <w:r w:rsidR="00E95502" w:rsidRPr="007E56DA">
        <w:rPr>
          <w:rFonts w:ascii="Times New Roman" w:hAnsi="Times New Roman" w:cs="Times New Roman"/>
          <w:color w:val="auto"/>
          <w:sz w:val="24"/>
          <w:szCs w:val="24"/>
        </w:rPr>
        <w:t>deslegitimantes</w:t>
      </w:r>
      <w:r w:rsidR="0011765C" w:rsidRPr="007E56DA">
        <w:rPr>
          <w:rFonts w:ascii="Times New Roman" w:hAnsi="Times New Roman" w:cs="Times New Roman"/>
          <w:color w:val="auto"/>
          <w:sz w:val="24"/>
          <w:szCs w:val="24"/>
        </w:rPr>
        <w:t>.</w:t>
      </w:r>
    </w:p>
    <w:p w:rsidR="00F17871" w:rsidRPr="007E56DA" w:rsidRDefault="00F17871" w:rsidP="0065650C">
      <w:pPr>
        <w:pStyle w:val="Normal1"/>
        <w:spacing w:after="0" w:line="360" w:lineRule="auto"/>
        <w:jc w:val="both"/>
        <w:rPr>
          <w:rFonts w:ascii="Times New Roman" w:hAnsi="Times New Roman" w:cs="Times New Roman"/>
          <w:color w:val="auto"/>
          <w:sz w:val="24"/>
          <w:szCs w:val="24"/>
        </w:rPr>
      </w:pPr>
    </w:p>
    <w:p w:rsidR="002010B0" w:rsidRPr="007E56DA" w:rsidRDefault="002010B0" w:rsidP="003A53EC">
      <w:pPr>
        <w:pStyle w:val="Normal1"/>
        <w:numPr>
          <w:ilvl w:val="0"/>
          <w:numId w:val="4"/>
        </w:numPr>
        <w:spacing w:after="0" w:line="360" w:lineRule="auto"/>
        <w:ind w:left="0" w:firstLine="0"/>
        <w:contextualSpacing/>
        <w:jc w:val="both"/>
        <w:rPr>
          <w:rFonts w:ascii="Times New Roman" w:eastAsia="Arial" w:hAnsi="Times New Roman" w:cs="Times New Roman"/>
          <w:b/>
          <w:color w:val="auto"/>
          <w:sz w:val="24"/>
          <w:szCs w:val="24"/>
        </w:rPr>
      </w:pPr>
      <w:r w:rsidRPr="007E56DA">
        <w:rPr>
          <w:rFonts w:ascii="Times New Roman" w:eastAsia="Arial" w:hAnsi="Times New Roman" w:cs="Times New Roman"/>
          <w:b/>
          <w:color w:val="auto"/>
          <w:sz w:val="24"/>
          <w:szCs w:val="24"/>
        </w:rPr>
        <w:t>Conclusiones</w:t>
      </w:r>
    </w:p>
    <w:p w:rsidR="00514787" w:rsidRPr="007E56DA" w:rsidRDefault="00CC3BFF" w:rsidP="00CC3BFF">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En este trabajo analizamos comparativamente las estrategias de dos organizaciones de la sociedad civil que buscaron incidir en la definición de políticas públicas: la asociación civil Justicia Legítima y de la fundación María de los Ángeles. Nos preguntamos cómo, habiéndose conformado en lugares sociales marginales, con escaso poder político, ambas OSC consiguieron incidir en los debates y en la definición de políticas específicas. </w:t>
      </w:r>
    </w:p>
    <w:p w:rsidR="00CC3BFF" w:rsidRPr="007E56DA" w:rsidRDefault="00CC3BFF"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Analizando comparativamente las trayectorias en las que se fueron configurando los sistemas de relaciones en los cuales se articuló cada OSC, identificamos entre las diferencias: que mientras la FMA inició una lucha particular, personal y solitaria de la madre de la desaparecida Marita Verón, quien contaba con escaso poder de incidencia, proporcional a su lugar social de escaso poder relativo y a las competencias definidas allí; la AJL se </w:t>
      </w:r>
      <w:r w:rsidR="00915BEF">
        <w:rPr>
          <w:rFonts w:ascii="Times New Roman" w:hAnsi="Times New Roman" w:cs="Times New Roman"/>
          <w:color w:val="auto"/>
          <w:sz w:val="24"/>
          <w:szCs w:val="24"/>
        </w:rPr>
        <w:t>constituyó</w:t>
      </w:r>
      <w:r w:rsidRPr="007E56DA">
        <w:rPr>
          <w:rFonts w:ascii="Times New Roman" w:hAnsi="Times New Roman" w:cs="Times New Roman"/>
          <w:color w:val="auto"/>
          <w:sz w:val="24"/>
          <w:szCs w:val="24"/>
        </w:rPr>
        <w:t xml:space="preserve"> como resultado de la crítica colectiva de un grupo articulado, cuyos miembros ya contaban con mejor poder relativo en el sistema de relaciones en el cual se insertaban dentro de la estructura judicial, si bien, en discrepancia con la posición oficial de las asociaciones profesionales que los representaban, especialmente, con respecto al conflicto entre el gobierno de Cristina Fernández y el grupo Clarín.</w:t>
      </w:r>
    </w:p>
    <w:p w:rsidR="00CC3BFF" w:rsidRPr="007E56DA" w:rsidRDefault="00CC3BFF"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Además, mientras que el disparador de la formación de la FMA fue la pérdida de un familiar de quien, luego, sería su fundadora; en el caso de la AJL, se trató del conflicto </w:t>
      </w:r>
      <w:r w:rsidRPr="007E56DA">
        <w:rPr>
          <w:rFonts w:ascii="Times New Roman" w:hAnsi="Times New Roman" w:cs="Times New Roman"/>
          <w:color w:val="auto"/>
          <w:sz w:val="24"/>
          <w:szCs w:val="24"/>
        </w:rPr>
        <w:lastRenderedPageBreak/>
        <w:t>con el grupo Clarín, el cual posibilitó la expresión y visibilización de conflictos de intereses al interior de la institución judicial.</w:t>
      </w:r>
    </w:p>
    <w:p w:rsidR="00CC3BFF" w:rsidRPr="007E56DA" w:rsidRDefault="00CC3BFF"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Entre las diferencias, cabe señalar también que mientras la FMA consiguió reconfigurar su competencia en una instancia clave, como fue la aparición de Trimarco en programas centrales de la programación de los canales de aire de CABA, en donde se legitimaba su lucha y sus reclamos; la AJL contó desde su surgimiento con la visibilización en los medios centrales, si bien la construcción de sus reclamos era tanto legitimada como deslegitimada dependiendo de si se tratara de medios afines o contrarios a la gestión de Cristina Fernández, y más puntualmente, a la Ley de Servicios de Comunicación Audiovisual. </w:t>
      </w:r>
    </w:p>
    <w:p w:rsidR="00CC3BFF" w:rsidRPr="007E56DA" w:rsidRDefault="00CC3BFF"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Entre los puntos en común que se identificaron en el análisis del sistema de relaciones de estas OSC, se destacó como hecho clave para la comprensión de sus capacidades de incidencia en los debates y en las políticas, la posición respecto del poder central. En ambos casos, el acercamiento y afinidad abrió camino a favor de sus intereses particulares, si bien en el caso de la AJL se pudo reconocer que también costó las críticas por parte de quienes la vincularon al partido del gobierno, op</w:t>
      </w:r>
      <w:r w:rsidR="00D75CDF">
        <w:rPr>
          <w:rFonts w:ascii="Times New Roman" w:hAnsi="Times New Roman" w:cs="Times New Roman"/>
          <w:color w:val="auto"/>
          <w:sz w:val="24"/>
          <w:szCs w:val="24"/>
        </w:rPr>
        <w:t>o</w:t>
      </w:r>
      <w:r w:rsidRPr="007E56DA">
        <w:rPr>
          <w:rFonts w:ascii="Times New Roman" w:hAnsi="Times New Roman" w:cs="Times New Roman"/>
          <w:color w:val="auto"/>
          <w:sz w:val="24"/>
          <w:szCs w:val="24"/>
        </w:rPr>
        <w:t xml:space="preserve">niéndola a una idea de justicia neutral y objetiva. De cualquier modo, el factor político fue clave en ambos casos. </w:t>
      </w:r>
    </w:p>
    <w:p w:rsidR="00CC3BFF" w:rsidRPr="007E56DA" w:rsidRDefault="00CC3BFF"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Por otra parte, también se identificó como rasgo común de ambos sistemas de relaciones el apoyo y reconocimiento recibidos por parte de otras organizaciones sociales. </w:t>
      </w:r>
    </w:p>
    <w:p w:rsidR="00CC3BFF" w:rsidRPr="007E56DA" w:rsidRDefault="00CC3BFF" w:rsidP="00CC3BFF">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En cuanto a las condiciones de enunciabilidad de sus propuestas, la comparación nos permitió reconocer que la FMA se abrió camino en un momento en el cual eran centrales los reclamos por la extensión de la modalidad de secuestro </w:t>
      </w:r>
      <w:r w:rsidRPr="005D7ADF">
        <w:rPr>
          <w:rFonts w:ascii="Times New Roman" w:eastAsia="Arial" w:hAnsi="Times New Roman" w:cs="Times New Roman"/>
          <w:i/>
          <w:color w:val="auto"/>
          <w:sz w:val="24"/>
          <w:szCs w:val="24"/>
        </w:rPr>
        <w:t>express</w:t>
      </w:r>
      <w:r w:rsidRPr="007E56DA">
        <w:rPr>
          <w:rFonts w:ascii="Times New Roman" w:eastAsia="Arial" w:hAnsi="Times New Roman" w:cs="Times New Roman"/>
          <w:color w:val="auto"/>
          <w:sz w:val="24"/>
          <w:szCs w:val="24"/>
        </w:rPr>
        <w:t xml:space="preserve"> y secuestro virtual. La FMA tuvo gran incidencia en la construcción de la propia aceptabilidad de su reclamo contra la trata de personas en un momento en el cual éste se encontraba invisibilizado. </w:t>
      </w:r>
    </w:p>
    <w:p w:rsidR="00CC3BFF" w:rsidRPr="007E56DA" w:rsidRDefault="00CC3BFF" w:rsidP="00CC3BFF">
      <w:pPr>
        <w:pStyle w:val="Normal1"/>
        <w:spacing w:after="0" w:line="360" w:lineRule="auto"/>
        <w:jc w:val="both"/>
        <w:rPr>
          <w:rFonts w:ascii="Times New Roman" w:eastAsia="Arial" w:hAnsi="Times New Roman" w:cs="Times New Roman"/>
          <w:color w:val="auto"/>
          <w:sz w:val="24"/>
          <w:szCs w:val="24"/>
        </w:rPr>
      </w:pPr>
      <w:r w:rsidRPr="007E56DA">
        <w:rPr>
          <w:rFonts w:ascii="Times New Roman" w:eastAsia="Arial" w:hAnsi="Times New Roman" w:cs="Times New Roman"/>
          <w:color w:val="auto"/>
          <w:sz w:val="24"/>
          <w:szCs w:val="24"/>
        </w:rPr>
        <w:t xml:space="preserve">En contraste, en el caso de la AJL vimos que sus reclamos se articularon en un entramado discursivo hegemónico en el cual la credibilidad y legitimidad de la justicia estaban siendo discutidas. </w:t>
      </w:r>
    </w:p>
    <w:p w:rsidR="00CC3BFF" w:rsidRPr="007E56DA" w:rsidRDefault="00CC3BFF"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Cuando comparamos las estrategias de ambas OSC, pudimos reconocer un conjunto de accione</w:t>
      </w:r>
      <w:r w:rsidR="000F7EE7" w:rsidRPr="007E56DA">
        <w:rPr>
          <w:rFonts w:ascii="Times New Roman" w:hAnsi="Times New Roman" w:cs="Times New Roman"/>
          <w:color w:val="auto"/>
          <w:sz w:val="24"/>
          <w:szCs w:val="24"/>
        </w:rPr>
        <w:t xml:space="preserve">s comunes como el desarrollo </w:t>
      </w:r>
      <w:r w:rsidRPr="007E56DA">
        <w:rPr>
          <w:rFonts w:ascii="Times New Roman" w:hAnsi="Times New Roman" w:cs="Times New Roman"/>
          <w:color w:val="auto"/>
          <w:sz w:val="24"/>
          <w:szCs w:val="24"/>
        </w:rPr>
        <w:t>de alianza</w:t>
      </w:r>
      <w:r w:rsidR="000F7EE7" w:rsidRPr="007E56DA">
        <w:rPr>
          <w:rFonts w:ascii="Times New Roman" w:hAnsi="Times New Roman" w:cs="Times New Roman"/>
          <w:color w:val="auto"/>
          <w:sz w:val="24"/>
          <w:szCs w:val="24"/>
        </w:rPr>
        <w:t>s</w:t>
      </w:r>
      <w:r w:rsidRPr="007E56DA">
        <w:rPr>
          <w:rFonts w:ascii="Times New Roman" w:hAnsi="Times New Roman" w:cs="Times New Roman"/>
          <w:color w:val="auto"/>
          <w:sz w:val="24"/>
          <w:szCs w:val="24"/>
        </w:rPr>
        <w:t xml:space="preserve"> con otros agentes sociales</w:t>
      </w:r>
      <w:r w:rsidR="00895096" w:rsidRPr="007E56DA">
        <w:rPr>
          <w:rFonts w:ascii="Times New Roman" w:hAnsi="Times New Roman" w:cs="Times New Roman"/>
          <w:color w:val="auto"/>
          <w:sz w:val="24"/>
          <w:szCs w:val="24"/>
        </w:rPr>
        <w:t xml:space="preserve"> como por ejemplo, expertos que pudieran producir información válida sobre el tema</w:t>
      </w:r>
      <w:r w:rsidRPr="007E56DA">
        <w:rPr>
          <w:rFonts w:ascii="Times New Roman" w:hAnsi="Times New Roman" w:cs="Times New Roman"/>
          <w:color w:val="auto"/>
          <w:sz w:val="24"/>
          <w:szCs w:val="24"/>
        </w:rPr>
        <w:t xml:space="preserve">, </w:t>
      </w:r>
      <w:r w:rsidR="00895096" w:rsidRPr="007E56DA">
        <w:rPr>
          <w:rFonts w:ascii="Times New Roman" w:hAnsi="Times New Roman" w:cs="Times New Roman"/>
          <w:color w:val="auto"/>
          <w:sz w:val="24"/>
          <w:szCs w:val="24"/>
        </w:rPr>
        <w:t xml:space="preserve">estrategias </w:t>
      </w:r>
      <w:r w:rsidRPr="007E56DA">
        <w:rPr>
          <w:rFonts w:ascii="Times New Roman" w:hAnsi="Times New Roman" w:cs="Times New Roman"/>
          <w:color w:val="auto"/>
          <w:sz w:val="24"/>
          <w:szCs w:val="24"/>
        </w:rPr>
        <w:t xml:space="preserve">de acercamiento </w:t>
      </w:r>
      <w:r w:rsidR="00DC7615" w:rsidRPr="007E56DA">
        <w:rPr>
          <w:rFonts w:ascii="Times New Roman" w:hAnsi="Times New Roman" w:cs="Times New Roman"/>
          <w:color w:val="auto"/>
          <w:sz w:val="24"/>
          <w:szCs w:val="24"/>
        </w:rPr>
        <w:t xml:space="preserve">no confrontativo </w:t>
      </w:r>
      <w:r w:rsidRPr="007E56DA">
        <w:rPr>
          <w:rFonts w:ascii="Times New Roman" w:hAnsi="Times New Roman" w:cs="Times New Roman"/>
          <w:color w:val="auto"/>
          <w:sz w:val="24"/>
          <w:szCs w:val="24"/>
        </w:rPr>
        <w:t xml:space="preserve">al poder central, de denuncia de la existencia de estructuras de poder cómplices y viciadas, estrategias de expansión territorial, </w:t>
      </w:r>
      <w:r w:rsidRPr="007E56DA">
        <w:rPr>
          <w:rFonts w:ascii="Times New Roman" w:hAnsi="Times New Roman" w:cs="Times New Roman"/>
          <w:color w:val="auto"/>
          <w:sz w:val="24"/>
          <w:szCs w:val="24"/>
        </w:rPr>
        <w:lastRenderedPageBreak/>
        <w:t>estrategias de implica</w:t>
      </w:r>
      <w:r w:rsidR="00AA29CE">
        <w:rPr>
          <w:rFonts w:ascii="Times New Roman" w:hAnsi="Times New Roman" w:cs="Times New Roman"/>
          <w:color w:val="auto"/>
          <w:sz w:val="24"/>
          <w:szCs w:val="24"/>
        </w:rPr>
        <w:t>ción</w:t>
      </w:r>
      <w:r w:rsidRPr="007E56DA">
        <w:rPr>
          <w:rFonts w:ascii="Times New Roman" w:hAnsi="Times New Roman" w:cs="Times New Roman"/>
          <w:color w:val="auto"/>
          <w:sz w:val="24"/>
          <w:szCs w:val="24"/>
        </w:rPr>
        <w:t xml:space="preserve"> de los </w:t>
      </w:r>
      <w:r w:rsidR="00895096" w:rsidRPr="007E56DA">
        <w:rPr>
          <w:rFonts w:ascii="Times New Roman" w:hAnsi="Times New Roman" w:cs="Times New Roman"/>
          <w:color w:val="auto"/>
          <w:sz w:val="24"/>
          <w:szCs w:val="24"/>
        </w:rPr>
        <w:t xml:space="preserve">mismos </w:t>
      </w:r>
      <w:r w:rsidRPr="007E56DA">
        <w:rPr>
          <w:rFonts w:ascii="Times New Roman" w:hAnsi="Times New Roman" w:cs="Times New Roman"/>
          <w:color w:val="auto"/>
          <w:sz w:val="24"/>
          <w:szCs w:val="24"/>
        </w:rPr>
        <w:t xml:space="preserve">actores </w:t>
      </w:r>
      <w:r w:rsidR="000F7EE7" w:rsidRPr="007E56DA">
        <w:rPr>
          <w:rFonts w:ascii="Times New Roman" w:hAnsi="Times New Roman" w:cs="Times New Roman"/>
          <w:color w:val="auto"/>
          <w:sz w:val="24"/>
          <w:szCs w:val="24"/>
        </w:rPr>
        <w:t>afectados</w:t>
      </w:r>
      <w:r w:rsidRPr="007E56DA">
        <w:rPr>
          <w:rFonts w:ascii="Times New Roman" w:hAnsi="Times New Roman" w:cs="Times New Roman"/>
          <w:color w:val="auto"/>
          <w:sz w:val="24"/>
          <w:szCs w:val="24"/>
        </w:rPr>
        <w:t xml:space="preserve">, de producción de documentos de formación y divulgación y estrategias de visibilización en medios de </w:t>
      </w:r>
      <w:r w:rsidR="00895096" w:rsidRPr="007E56DA">
        <w:rPr>
          <w:rFonts w:ascii="Times New Roman" w:hAnsi="Times New Roman" w:cs="Times New Roman"/>
          <w:color w:val="auto"/>
          <w:sz w:val="24"/>
          <w:szCs w:val="24"/>
        </w:rPr>
        <w:t>comunicación</w:t>
      </w:r>
      <w:r w:rsidRPr="007E56DA">
        <w:rPr>
          <w:rFonts w:ascii="Times New Roman" w:hAnsi="Times New Roman" w:cs="Times New Roman"/>
          <w:color w:val="auto"/>
          <w:sz w:val="24"/>
          <w:szCs w:val="24"/>
        </w:rPr>
        <w:t xml:space="preserve">. </w:t>
      </w:r>
    </w:p>
    <w:p w:rsidR="00CC3BFF" w:rsidRPr="007E56DA" w:rsidRDefault="00BE3B7A"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D</w:t>
      </w:r>
      <w:r w:rsidR="00CC3BFF" w:rsidRPr="007E56DA">
        <w:rPr>
          <w:rFonts w:ascii="Times New Roman" w:hAnsi="Times New Roman" w:cs="Times New Roman"/>
          <w:color w:val="auto"/>
          <w:sz w:val="24"/>
          <w:szCs w:val="24"/>
        </w:rPr>
        <w:t>estacamos como estrategia</w:t>
      </w:r>
      <w:r w:rsidR="00895096" w:rsidRPr="007E56DA">
        <w:rPr>
          <w:rFonts w:ascii="Times New Roman" w:hAnsi="Times New Roman" w:cs="Times New Roman"/>
          <w:color w:val="auto"/>
          <w:sz w:val="24"/>
          <w:szCs w:val="24"/>
        </w:rPr>
        <w:t xml:space="preserve"> de comunicación</w:t>
      </w:r>
      <w:r w:rsidR="00CC3BFF" w:rsidRPr="007E56DA">
        <w:rPr>
          <w:rFonts w:ascii="Times New Roman" w:hAnsi="Times New Roman" w:cs="Times New Roman"/>
          <w:color w:val="auto"/>
          <w:sz w:val="24"/>
          <w:szCs w:val="24"/>
        </w:rPr>
        <w:t xml:space="preserve"> común</w:t>
      </w:r>
      <w:r w:rsidR="00895096" w:rsidRPr="007E56DA">
        <w:rPr>
          <w:rFonts w:ascii="Times New Roman" w:hAnsi="Times New Roman" w:cs="Times New Roman"/>
          <w:color w:val="auto"/>
          <w:sz w:val="24"/>
          <w:szCs w:val="24"/>
        </w:rPr>
        <w:t>,</w:t>
      </w:r>
      <w:r w:rsidR="00CC3BFF" w:rsidRPr="007E56DA">
        <w:rPr>
          <w:rFonts w:ascii="Times New Roman" w:hAnsi="Times New Roman" w:cs="Times New Roman"/>
          <w:color w:val="auto"/>
          <w:sz w:val="24"/>
          <w:szCs w:val="24"/>
        </w:rPr>
        <w:t xml:space="preserve"> la creación de página</w:t>
      </w:r>
      <w:r w:rsidR="000F7EE7" w:rsidRPr="007E56DA">
        <w:rPr>
          <w:rFonts w:ascii="Times New Roman" w:hAnsi="Times New Roman" w:cs="Times New Roman"/>
          <w:color w:val="auto"/>
          <w:sz w:val="24"/>
          <w:szCs w:val="24"/>
        </w:rPr>
        <w:t>s</w:t>
      </w:r>
      <w:r w:rsidR="00CC3BFF" w:rsidRPr="007E56DA">
        <w:rPr>
          <w:rFonts w:ascii="Times New Roman" w:hAnsi="Times New Roman" w:cs="Times New Roman"/>
          <w:color w:val="auto"/>
          <w:sz w:val="24"/>
          <w:szCs w:val="24"/>
        </w:rPr>
        <w:t xml:space="preserve"> web</w:t>
      </w:r>
      <w:r w:rsidR="000F7EE7" w:rsidRPr="007E56DA">
        <w:rPr>
          <w:rFonts w:ascii="Times New Roman" w:hAnsi="Times New Roman" w:cs="Times New Roman"/>
          <w:color w:val="auto"/>
          <w:sz w:val="24"/>
          <w:szCs w:val="24"/>
        </w:rPr>
        <w:t xml:space="preserve"> de calidad</w:t>
      </w:r>
      <w:r w:rsidR="008C564E" w:rsidRPr="007E56DA">
        <w:rPr>
          <w:rFonts w:ascii="Times New Roman" w:hAnsi="Times New Roman" w:cs="Times New Roman"/>
          <w:color w:val="auto"/>
          <w:sz w:val="24"/>
          <w:szCs w:val="24"/>
        </w:rPr>
        <w:t xml:space="preserve">, con un </w:t>
      </w:r>
      <w:r w:rsidR="000F7EE7" w:rsidRPr="007E56DA">
        <w:rPr>
          <w:rFonts w:ascii="Times New Roman" w:hAnsi="Times New Roman" w:cs="Times New Roman"/>
          <w:color w:val="auto"/>
          <w:sz w:val="24"/>
          <w:szCs w:val="24"/>
        </w:rPr>
        <w:t>diseño institucional, diagramación, producción de contenidos</w:t>
      </w:r>
      <w:r w:rsidR="008C564E" w:rsidRPr="007E56DA">
        <w:rPr>
          <w:rFonts w:ascii="Times New Roman" w:hAnsi="Times New Roman" w:cs="Times New Roman"/>
          <w:color w:val="auto"/>
          <w:sz w:val="24"/>
          <w:szCs w:val="24"/>
        </w:rPr>
        <w:t xml:space="preserve">, </w:t>
      </w:r>
      <w:r w:rsidR="00536BF0" w:rsidRPr="007E56DA">
        <w:rPr>
          <w:rFonts w:ascii="Times New Roman" w:hAnsi="Times New Roman" w:cs="Times New Roman"/>
          <w:color w:val="auto"/>
          <w:sz w:val="24"/>
          <w:szCs w:val="24"/>
        </w:rPr>
        <w:t xml:space="preserve">que cuentan con </w:t>
      </w:r>
      <w:r w:rsidR="008C564E" w:rsidRPr="007E56DA">
        <w:rPr>
          <w:rFonts w:ascii="Times New Roman" w:hAnsi="Times New Roman" w:cs="Times New Roman"/>
          <w:color w:val="auto"/>
          <w:sz w:val="24"/>
          <w:szCs w:val="24"/>
        </w:rPr>
        <w:t xml:space="preserve">mantenimiento técnico y actualización permanentes; lo cual da cuenta </w:t>
      </w:r>
      <w:r w:rsidR="00533EFC" w:rsidRPr="007E56DA">
        <w:rPr>
          <w:rFonts w:ascii="Times New Roman" w:hAnsi="Times New Roman" w:cs="Times New Roman"/>
          <w:color w:val="auto"/>
          <w:sz w:val="24"/>
          <w:szCs w:val="24"/>
        </w:rPr>
        <w:t xml:space="preserve">tanto </w:t>
      </w:r>
      <w:r w:rsidR="008C564E" w:rsidRPr="007E56DA">
        <w:rPr>
          <w:rFonts w:ascii="Times New Roman" w:hAnsi="Times New Roman" w:cs="Times New Roman"/>
          <w:color w:val="auto"/>
          <w:sz w:val="24"/>
          <w:szCs w:val="24"/>
        </w:rPr>
        <w:t xml:space="preserve">de </w:t>
      </w:r>
      <w:r w:rsidR="000F7EE7" w:rsidRPr="007E56DA">
        <w:rPr>
          <w:rFonts w:ascii="Times New Roman" w:hAnsi="Times New Roman" w:cs="Times New Roman"/>
          <w:color w:val="auto"/>
          <w:sz w:val="24"/>
          <w:szCs w:val="24"/>
        </w:rPr>
        <w:t>cierto nivel de organización interna</w:t>
      </w:r>
      <w:r w:rsidR="00533EFC" w:rsidRPr="007E56DA">
        <w:rPr>
          <w:rFonts w:ascii="Times New Roman" w:hAnsi="Times New Roman" w:cs="Times New Roman"/>
          <w:color w:val="auto"/>
          <w:sz w:val="24"/>
          <w:szCs w:val="24"/>
        </w:rPr>
        <w:t xml:space="preserve"> y</w:t>
      </w:r>
      <w:r w:rsidR="000F7EE7" w:rsidRPr="007E56DA">
        <w:rPr>
          <w:rFonts w:ascii="Times New Roman" w:hAnsi="Times New Roman" w:cs="Times New Roman"/>
          <w:color w:val="auto"/>
          <w:sz w:val="24"/>
          <w:szCs w:val="24"/>
        </w:rPr>
        <w:t xml:space="preserve"> de disponibilidad de recursos (económicos, principalmente, para su creación, mantenimiento y actualización)</w:t>
      </w:r>
      <w:r w:rsidR="00533EFC" w:rsidRPr="007E56DA">
        <w:rPr>
          <w:rFonts w:ascii="Times New Roman" w:hAnsi="Times New Roman" w:cs="Times New Roman"/>
          <w:color w:val="auto"/>
          <w:sz w:val="24"/>
          <w:szCs w:val="24"/>
        </w:rPr>
        <w:t>, como d</w:t>
      </w:r>
      <w:r w:rsidR="000F7EE7" w:rsidRPr="007E56DA">
        <w:rPr>
          <w:rFonts w:ascii="Times New Roman" w:hAnsi="Times New Roman" w:cs="Times New Roman"/>
          <w:color w:val="auto"/>
          <w:sz w:val="24"/>
          <w:szCs w:val="24"/>
        </w:rPr>
        <w:t>e</w:t>
      </w:r>
      <w:r w:rsidR="00533EFC" w:rsidRPr="007E56DA">
        <w:rPr>
          <w:rFonts w:ascii="Times New Roman" w:hAnsi="Times New Roman" w:cs="Times New Roman"/>
          <w:color w:val="auto"/>
          <w:sz w:val="24"/>
          <w:szCs w:val="24"/>
        </w:rPr>
        <w:t>l</w:t>
      </w:r>
      <w:r w:rsidR="000F7EE7" w:rsidRPr="007E56DA">
        <w:rPr>
          <w:rFonts w:ascii="Times New Roman" w:hAnsi="Times New Roman" w:cs="Times New Roman"/>
          <w:color w:val="auto"/>
          <w:sz w:val="24"/>
          <w:szCs w:val="24"/>
        </w:rPr>
        <w:t xml:space="preserve"> reconocimiento</w:t>
      </w:r>
      <w:r w:rsidR="00CC0DF2">
        <w:rPr>
          <w:rFonts w:ascii="Times New Roman" w:hAnsi="Times New Roman" w:cs="Times New Roman"/>
          <w:color w:val="auto"/>
          <w:sz w:val="24"/>
          <w:szCs w:val="24"/>
        </w:rPr>
        <w:t xml:space="preserve"> </w:t>
      </w:r>
      <w:r w:rsidR="000F7EE7" w:rsidRPr="007E56DA">
        <w:rPr>
          <w:rFonts w:ascii="Times New Roman" w:hAnsi="Times New Roman" w:cs="Times New Roman"/>
          <w:color w:val="auto"/>
          <w:sz w:val="24"/>
          <w:szCs w:val="24"/>
        </w:rPr>
        <w:t>del lugar central de la comunicación</w:t>
      </w:r>
      <w:r w:rsidR="00533EFC" w:rsidRPr="007E56DA">
        <w:rPr>
          <w:rFonts w:ascii="Times New Roman" w:hAnsi="Times New Roman" w:cs="Times New Roman"/>
          <w:color w:val="auto"/>
          <w:sz w:val="24"/>
          <w:szCs w:val="24"/>
        </w:rPr>
        <w:t xml:space="preserve"> en estos procesos, de la dimensión simbólica de las disputas. </w:t>
      </w:r>
      <w:r w:rsidR="0097399D" w:rsidRPr="007E56DA">
        <w:rPr>
          <w:rFonts w:ascii="Times New Roman" w:hAnsi="Times New Roman" w:cs="Times New Roman"/>
          <w:color w:val="auto"/>
          <w:sz w:val="24"/>
          <w:szCs w:val="24"/>
        </w:rPr>
        <w:t xml:space="preserve">Nos referimos </w:t>
      </w:r>
      <w:r w:rsidR="00461212" w:rsidRPr="007E56DA">
        <w:rPr>
          <w:rFonts w:ascii="Times New Roman" w:hAnsi="Times New Roman" w:cs="Times New Roman"/>
          <w:color w:val="auto"/>
          <w:sz w:val="24"/>
          <w:szCs w:val="24"/>
        </w:rPr>
        <w:t xml:space="preserve">concretamente </w:t>
      </w:r>
      <w:r w:rsidR="0097399D" w:rsidRPr="007E56DA">
        <w:rPr>
          <w:rFonts w:ascii="Times New Roman" w:hAnsi="Times New Roman" w:cs="Times New Roman"/>
          <w:color w:val="auto"/>
          <w:sz w:val="24"/>
          <w:szCs w:val="24"/>
        </w:rPr>
        <w:t xml:space="preserve">a su uso como </w:t>
      </w:r>
      <w:r w:rsidR="00CC3BFF" w:rsidRPr="007E56DA">
        <w:rPr>
          <w:rFonts w:ascii="Times New Roman" w:hAnsi="Times New Roman" w:cs="Times New Roman"/>
          <w:color w:val="auto"/>
          <w:sz w:val="24"/>
          <w:szCs w:val="24"/>
        </w:rPr>
        <w:t xml:space="preserve">espacio de construcción </w:t>
      </w:r>
      <w:r w:rsidRPr="007E56DA">
        <w:rPr>
          <w:rFonts w:ascii="Times New Roman" w:hAnsi="Times New Roman" w:cs="Times New Roman"/>
          <w:color w:val="auto"/>
          <w:sz w:val="24"/>
          <w:szCs w:val="24"/>
        </w:rPr>
        <w:t xml:space="preserve">oficial </w:t>
      </w:r>
      <w:r w:rsidR="00CC3BFF" w:rsidRPr="007E56DA">
        <w:rPr>
          <w:rFonts w:ascii="Times New Roman" w:hAnsi="Times New Roman" w:cs="Times New Roman"/>
          <w:color w:val="auto"/>
          <w:sz w:val="24"/>
          <w:szCs w:val="24"/>
        </w:rPr>
        <w:t xml:space="preserve">de la propia imagen y propia competencia, </w:t>
      </w:r>
      <w:r w:rsidR="0097399D" w:rsidRPr="007E56DA">
        <w:rPr>
          <w:rFonts w:ascii="Times New Roman" w:hAnsi="Times New Roman" w:cs="Times New Roman"/>
          <w:color w:val="auto"/>
          <w:sz w:val="24"/>
          <w:szCs w:val="24"/>
        </w:rPr>
        <w:t xml:space="preserve">de </w:t>
      </w:r>
      <w:r w:rsidR="00CC3BFF" w:rsidRPr="007E56DA">
        <w:rPr>
          <w:rFonts w:ascii="Times New Roman" w:hAnsi="Times New Roman" w:cs="Times New Roman"/>
          <w:color w:val="auto"/>
          <w:sz w:val="24"/>
          <w:szCs w:val="24"/>
        </w:rPr>
        <w:t xml:space="preserve">su propia historia y actualidad, de fundamentación de sus propósitos, de divulgación de sus acciones, reconocimientos y apoyo recibido por parte de otros actores sociales relevantes y de generación de una vía </w:t>
      </w:r>
      <w:r w:rsidR="00AA29CE">
        <w:rPr>
          <w:rFonts w:ascii="Times New Roman" w:hAnsi="Times New Roman" w:cs="Times New Roman"/>
          <w:color w:val="auto"/>
          <w:sz w:val="24"/>
          <w:szCs w:val="24"/>
        </w:rPr>
        <w:t xml:space="preserve">de </w:t>
      </w:r>
      <w:r w:rsidR="00CC3BFF" w:rsidRPr="007E56DA">
        <w:rPr>
          <w:rFonts w:ascii="Times New Roman" w:hAnsi="Times New Roman" w:cs="Times New Roman"/>
          <w:color w:val="auto"/>
          <w:sz w:val="24"/>
          <w:szCs w:val="24"/>
        </w:rPr>
        <w:t>contacto</w:t>
      </w:r>
      <w:r w:rsidR="00AA29CE">
        <w:rPr>
          <w:rFonts w:ascii="Times New Roman" w:hAnsi="Times New Roman" w:cs="Times New Roman"/>
          <w:color w:val="auto"/>
          <w:sz w:val="24"/>
          <w:szCs w:val="24"/>
        </w:rPr>
        <w:t>, d</w:t>
      </w:r>
      <w:r w:rsidR="00CC3BFF" w:rsidRPr="007E56DA">
        <w:rPr>
          <w:rFonts w:ascii="Times New Roman" w:hAnsi="Times New Roman" w:cs="Times New Roman"/>
          <w:color w:val="auto"/>
          <w:sz w:val="24"/>
          <w:szCs w:val="24"/>
        </w:rPr>
        <w:t>e obtención de recursos económicos</w:t>
      </w:r>
      <w:r w:rsidR="0097399D" w:rsidRPr="007E56DA">
        <w:rPr>
          <w:rFonts w:ascii="Times New Roman" w:hAnsi="Times New Roman" w:cs="Times New Roman"/>
          <w:color w:val="auto"/>
          <w:sz w:val="24"/>
          <w:szCs w:val="24"/>
        </w:rPr>
        <w:t>, de construcción y deslegitimación de adversarios, en suma, como espacio de disputa por los sentidos.</w:t>
      </w:r>
    </w:p>
    <w:p w:rsidR="00895096" w:rsidRPr="007E56DA" w:rsidRDefault="00461212" w:rsidP="006460B2">
      <w:pPr>
        <w:pStyle w:val="Normal1"/>
        <w:spacing w:after="0" w:line="360" w:lineRule="auto"/>
        <w:jc w:val="both"/>
        <w:rPr>
          <w:rFonts w:ascii="Times New Roman" w:hAnsi="Times New Roman" w:cs="Times New Roman"/>
          <w:i/>
          <w:color w:val="auto"/>
          <w:sz w:val="24"/>
          <w:szCs w:val="24"/>
        </w:rPr>
      </w:pPr>
      <w:r w:rsidRPr="007E56DA">
        <w:rPr>
          <w:rFonts w:ascii="Times New Roman" w:hAnsi="Times New Roman" w:cs="Times New Roman"/>
          <w:color w:val="auto"/>
          <w:sz w:val="24"/>
          <w:szCs w:val="24"/>
        </w:rPr>
        <w:t>A pesar de estos puntos en común,</w:t>
      </w:r>
      <w:r w:rsidR="00CC3BFF" w:rsidRPr="007E56DA">
        <w:rPr>
          <w:rFonts w:ascii="Times New Roman" w:hAnsi="Times New Roman" w:cs="Times New Roman"/>
          <w:color w:val="auto"/>
          <w:sz w:val="24"/>
          <w:szCs w:val="24"/>
        </w:rPr>
        <w:t xml:space="preserve"> las alianzas que ambas OSC buscaron desarrollar fueron de distinto tipo: AJL, convocando a otros actores sociales históricamente excluidos de estos debates, y la FMA, vinculándose a actores influyentes en su entorno inmediato, primero, y a figuras públicas con mayor poder relativo en otros sistemas de relaciones y que le permitieron mejorar sus posibilidades de </w:t>
      </w:r>
      <w:r w:rsidR="00CC3BFF" w:rsidRPr="007E56DA">
        <w:rPr>
          <w:rFonts w:ascii="Times New Roman" w:hAnsi="Times New Roman" w:cs="Times New Roman"/>
          <w:i/>
          <w:color w:val="auto"/>
          <w:sz w:val="24"/>
          <w:szCs w:val="24"/>
        </w:rPr>
        <w:t>ser</w:t>
      </w:r>
      <w:r w:rsidR="00CC3BFF" w:rsidRPr="007E56DA">
        <w:rPr>
          <w:rFonts w:ascii="Times New Roman" w:hAnsi="Times New Roman" w:cs="Times New Roman"/>
          <w:color w:val="auto"/>
          <w:sz w:val="24"/>
          <w:szCs w:val="24"/>
        </w:rPr>
        <w:t xml:space="preserve"> públicamente y de </w:t>
      </w:r>
      <w:r w:rsidR="00CC3BFF" w:rsidRPr="007E56DA">
        <w:rPr>
          <w:rFonts w:ascii="Times New Roman" w:hAnsi="Times New Roman" w:cs="Times New Roman"/>
          <w:i/>
          <w:color w:val="auto"/>
          <w:sz w:val="24"/>
          <w:szCs w:val="24"/>
        </w:rPr>
        <w:t>hacer.</w:t>
      </w:r>
    </w:p>
    <w:p w:rsidR="00CC3BFF" w:rsidRPr="007E56DA" w:rsidRDefault="006460B2" w:rsidP="00CC3BFF">
      <w:pPr>
        <w:pStyle w:val="Normal1"/>
        <w:spacing w:after="0" w:line="360" w:lineRule="auto"/>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Estas estrategias resultan coherentes respecto </w:t>
      </w:r>
      <w:r w:rsidR="00EC7B4B">
        <w:rPr>
          <w:rFonts w:ascii="Times New Roman" w:hAnsi="Times New Roman" w:cs="Times New Roman"/>
          <w:color w:val="auto"/>
          <w:sz w:val="24"/>
          <w:szCs w:val="24"/>
        </w:rPr>
        <w:t>de los lugares sociales desde lo</w:t>
      </w:r>
      <w:r w:rsidRPr="007E56DA">
        <w:rPr>
          <w:rFonts w:ascii="Times New Roman" w:hAnsi="Times New Roman" w:cs="Times New Roman"/>
          <w:color w:val="auto"/>
          <w:sz w:val="24"/>
          <w:szCs w:val="24"/>
        </w:rPr>
        <w:t>s cuales ambas OSC las producen: el actor que cuenta de antemano con mayor poder relativo (AJL) buscó asociarse con agentes más débiles (los históricamente excluidos) para darle credibilidad a su propuesta, mientras que el más débil (FMA) se asoció con agentes sociales con mayor poder relativo para incrementar su capacidad de incidencia.</w:t>
      </w:r>
      <w:r w:rsidR="00193BB9">
        <w:rPr>
          <w:rFonts w:ascii="Times New Roman" w:hAnsi="Times New Roman" w:cs="Times New Roman"/>
          <w:color w:val="auto"/>
          <w:sz w:val="24"/>
          <w:szCs w:val="24"/>
        </w:rPr>
        <w:t xml:space="preserve"> </w:t>
      </w:r>
      <w:r w:rsidR="00461212" w:rsidRPr="007E56DA">
        <w:rPr>
          <w:rFonts w:ascii="Times New Roman" w:hAnsi="Times New Roman" w:cs="Times New Roman"/>
          <w:color w:val="auto"/>
          <w:sz w:val="24"/>
          <w:szCs w:val="24"/>
        </w:rPr>
        <w:t xml:space="preserve">Puntualmente, </w:t>
      </w:r>
      <w:r w:rsidR="00CC3BFF" w:rsidRPr="007E56DA">
        <w:rPr>
          <w:rFonts w:ascii="Times New Roman" w:hAnsi="Times New Roman" w:cs="Times New Roman"/>
          <w:color w:val="auto"/>
          <w:sz w:val="24"/>
          <w:szCs w:val="24"/>
        </w:rPr>
        <w:t>la FMA realizó acciones en red con otras organizaciones con trayectoria en el tema, coherente con su apuesta por desarrollar sus propias competencias en este campo; mientras que la AJL se vinculó con otras organizaciones sociales, coherente con su apuesta por convertirse en propulsora de la ampliación de los debates en otros sectores sociales.</w:t>
      </w:r>
    </w:p>
    <w:p w:rsidR="00CC3BFF" w:rsidRPr="002A73A5" w:rsidRDefault="00F9368F" w:rsidP="00CC3BFF">
      <w:pPr>
        <w:pStyle w:val="Normal1"/>
        <w:spacing w:after="0" w:line="360" w:lineRule="auto"/>
        <w:jc w:val="both"/>
        <w:rPr>
          <w:rFonts w:ascii="Times New Roman" w:hAnsi="Times New Roman" w:cs="Times New Roman"/>
          <w:color w:val="auto"/>
          <w:sz w:val="24"/>
          <w:szCs w:val="24"/>
        </w:rPr>
      </w:pPr>
      <w:r w:rsidRPr="002A73A5">
        <w:rPr>
          <w:rFonts w:ascii="Times New Roman" w:hAnsi="Times New Roman" w:cs="Times New Roman"/>
          <w:color w:val="auto"/>
          <w:sz w:val="24"/>
          <w:szCs w:val="24"/>
        </w:rPr>
        <w:t>T</w:t>
      </w:r>
      <w:r w:rsidR="00CC3BFF" w:rsidRPr="002A73A5">
        <w:rPr>
          <w:rFonts w:ascii="Times New Roman" w:hAnsi="Times New Roman" w:cs="Times New Roman"/>
          <w:color w:val="auto"/>
          <w:sz w:val="24"/>
          <w:szCs w:val="24"/>
        </w:rPr>
        <w:t>ambién advertimos diferencias en las estrategias de visibilización mediática: mientras que la FMA debió gestionarla</w:t>
      </w:r>
      <w:r w:rsidR="00491143" w:rsidRPr="002A73A5">
        <w:rPr>
          <w:rFonts w:ascii="Times New Roman" w:hAnsi="Times New Roman" w:cs="Times New Roman"/>
          <w:color w:val="auto"/>
          <w:sz w:val="24"/>
          <w:szCs w:val="24"/>
        </w:rPr>
        <w:t>s</w:t>
      </w:r>
      <w:r w:rsidR="00CC3BFF" w:rsidRPr="002A73A5">
        <w:rPr>
          <w:rFonts w:ascii="Times New Roman" w:hAnsi="Times New Roman" w:cs="Times New Roman"/>
          <w:color w:val="auto"/>
          <w:sz w:val="24"/>
          <w:szCs w:val="24"/>
        </w:rPr>
        <w:t xml:space="preserve"> poniendo mucho más en juego sus propias competencias </w:t>
      </w:r>
      <w:r w:rsidR="00CC3BFF" w:rsidRPr="002A73A5">
        <w:rPr>
          <w:rFonts w:ascii="Times New Roman" w:hAnsi="Times New Roman" w:cs="Times New Roman"/>
          <w:color w:val="auto"/>
          <w:sz w:val="24"/>
          <w:szCs w:val="24"/>
        </w:rPr>
        <w:lastRenderedPageBreak/>
        <w:t>y que, al conseguirla, fue siempre legitimante de su lucha</w:t>
      </w:r>
      <w:r w:rsidR="00491143" w:rsidRPr="002A73A5">
        <w:rPr>
          <w:rFonts w:ascii="Times New Roman" w:hAnsi="Times New Roman" w:cs="Times New Roman"/>
          <w:color w:val="auto"/>
          <w:sz w:val="24"/>
          <w:szCs w:val="24"/>
        </w:rPr>
        <w:t>;</w:t>
      </w:r>
      <w:r w:rsidR="00CC3BFF" w:rsidRPr="002A73A5">
        <w:rPr>
          <w:rFonts w:ascii="Times New Roman" w:hAnsi="Times New Roman" w:cs="Times New Roman"/>
          <w:color w:val="auto"/>
          <w:sz w:val="24"/>
          <w:szCs w:val="24"/>
        </w:rPr>
        <w:t xml:space="preserve"> la AJL contó con presencia en la prensa desde su surgimiento, pero tanto a favor como en contra de sus propuestas y acciones</w:t>
      </w:r>
      <w:r w:rsidR="00461212" w:rsidRPr="002A73A5">
        <w:rPr>
          <w:rFonts w:ascii="Times New Roman" w:hAnsi="Times New Roman" w:cs="Times New Roman"/>
          <w:color w:val="auto"/>
          <w:sz w:val="24"/>
          <w:szCs w:val="24"/>
        </w:rPr>
        <w:t>, viéndose estimulada para defenderse públicamente</w:t>
      </w:r>
      <w:r w:rsidR="00CC3BFF" w:rsidRPr="002A73A5">
        <w:rPr>
          <w:rFonts w:ascii="Times New Roman" w:hAnsi="Times New Roman" w:cs="Times New Roman"/>
          <w:color w:val="auto"/>
          <w:sz w:val="24"/>
          <w:szCs w:val="24"/>
        </w:rPr>
        <w:t>.</w:t>
      </w:r>
    </w:p>
    <w:p w:rsidR="00CC3BFF" w:rsidRPr="002A73A5" w:rsidRDefault="00CC3BFF" w:rsidP="00CC3BFF">
      <w:pPr>
        <w:pStyle w:val="Normal1"/>
        <w:spacing w:after="0" w:line="360" w:lineRule="auto"/>
        <w:jc w:val="both"/>
        <w:rPr>
          <w:rFonts w:ascii="Times New Roman" w:hAnsi="Times New Roman" w:cs="Times New Roman"/>
          <w:color w:val="auto"/>
          <w:sz w:val="24"/>
          <w:szCs w:val="24"/>
          <w:shd w:val="clear" w:color="auto" w:fill="FFFFFF"/>
          <w:vertAlign w:val="superscript"/>
        </w:rPr>
      </w:pPr>
      <w:r w:rsidRPr="002A73A5">
        <w:rPr>
          <w:rFonts w:ascii="Times New Roman" w:hAnsi="Times New Roman" w:cs="Times New Roman"/>
          <w:color w:val="auto"/>
          <w:sz w:val="24"/>
          <w:szCs w:val="24"/>
        </w:rPr>
        <w:t xml:space="preserve">Al comparar la incidencia de cada OSC en la definición de políticas, </w:t>
      </w:r>
      <w:r w:rsidRPr="002A73A5">
        <w:rPr>
          <w:rFonts w:ascii="Times New Roman" w:hAnsi="Times New Roman" w:cs="Times New Roman"/>
          <w:color w:val="auto"/>
          <w:sz w:val="24"/>
          <w:szCs w:val="24"/>
          <w:shd w:val="clear" w:color="auto" w:fill="FFFFFF"/>
        </w:rPr>
        <w:t>en abril de 2013 la presidenta Cristina Fernández envió al Congreso de la Nación seis proyectos: de reforma del Consejo de la Magistratura, de ingreso democrático al Poder Judicial, al Ministerio Público Fiscal y a la Defensa, sobre la publicidad de los actos del Poder Judicial, sobre la publicidad y acceso a las declaraciones juradas y sobre la creación de nuevas Cámaras de Casación. Justicia Legítima no tardó en mostrar su apoyo a los seis proyectos de reforma del Poder Judicial.</w:t>
      </w:r>
      <w:r w:rsidRPr="002A73A5">
        <w:rPr>
          <w:rFonts w:ascii="Times New Roman" w:hAnsi="Times New Roman" w:cs="Times New Roman"/>
          <w:color w:val="auto"/>
          <w:sz w:val="24"/>
          <w:szCs w:val="24"/>
          <w:shd w:val="clear" w:color="auto" w:fill="FFFFFF"/>
          <w:vertAlign w:val="superscript"/>
        </w:rPr>
        <w:footnoteReference w:id="73"/>
      </w:r>
    </w:p>
    <w:p w:rsidR="00CC3BFF" w:rsidRPr="002A73A5" w:rsidRDefault="00CC3BFF" w:rsidP="00CC3BFF">
      <w:pPr>
        <w:pStyle w:val="Normal1"/>
        <w:spacing w:after="0" w:line="360" w:lineRule="auto"/>
        <w:jc w:val="both"/>
        <w:rPr>
          <w:rFonts w:ascii="Times New Roman" w:hAnsi="Times New Roman" w:cs="Times New Roman"/>
          <w:color w:val="auto"/>
          <w:sz w:val="24"/>
          <w:szCs w:val="24"/>
          <w:shd w:val="clear" w:color="auto" w:fill="FFFFFF"/>
        </w:rPr>
      </w:pPr>
      <w:r w:rsidRPr="002A73A5">
        <w:rPr>
          <w:rFonts w:ascii="Times New Roman" w:hAnsi="Times New Roman" w:cs="Times New Roman"/>
          <w:color w:val="auto"/>
          <w:sz w:val="24"/>
          <w:szCs w:val="24"/>
          <w:shd w:val="clear" w:color="auto" w:fill="FFFFFF"/>
        </w:rPr>
        <w:t>Si bien en las declaraciones de los referentes de la AJL se negaba que el gobierno los hubiera convocado para la redacción de esos proyectos</w:t>
      </w:r>
      <w:r w:rsidRPr="002A73A5">
        <w:rPr>
          <w:rStyle w:val="Refdenotaalpie"/>
          <w:rFonts w:ascii="Times New Roman" w:hAnsi="Times New Roman" w:cs="Times New Roman"/>
          <w:color w:val="auto"/>
          <w:sz w:val="24"/>
          <w:szCs w:val="24"/>
          <w:shd w:val="clear" w:color="auto" w:fill="FFFFFF"/>
        </w:rPr>
        <w:footnoteReference w:id="74"/>
      </w:r>
      <w:r w:rsidR="00F9368F" w:rsidRPr="002A73A5">
        <w:rPr>
          <w:rFonts w:ascii="Times New Roman" w:hAnsi="Times New Roman" w:cs="Times New Roman"/>
          <w:color w:val="auto"/>
          <w:sz w:val="24"/>
          <w:szCs w:val="24"/>
          <w:shd w:val="clear" w:color="auto" w:fill="FFFFFF"/>
        </w:rPr>
        <w:t>,</w:t>
      </w:r>
      <w:r w:rsidRPr="002A73A5">
        <w:rPr>
          <w:rFonts w:ascii="Times New Roman" w:hAnsi="Times New Roman" w:cs="Times New Roman"/>
          <w:color w:val="auto"/>
          <w:sz w:val="24"/>
          <w:szCs w:val="24"/>
          <w:shd w:val="clear" w:color="auto" w:fill="FFFFFF"/>
        </w:rPr>
        <w:t xml:space="preserve"> podemos reconocer</w:t>
      </w:r>
      <w:r w:rsidR="00F9368F" w:rsidRPr="002A73A5">
        <w:rPr>
          <w:rFonts w:ascii="Times New Roman" w:hAnsi="Times New Roman" w:cs="Times New Roman"/>
          <w:color w:val="auto"/>
          <w:sz w:val="24"/>
          <w:szCs w:val="24"/>
          <w:shd w:val="clear" w:color="auto" w:fill="FFFFFF"/>
        </w:rPr>
        <w:t>,</w:t>
      </w:r>
      <w:r w:rsidRPr="002A73A5">
        <w:rPr>
          <w:rFonts w:ascii="Times New Roman" w:hAnsi="Times New Roman" w:cs="Times New Roman"/>
          <w:color w:val="auto"/>
          <w:sz w:val="24"/>
          <w:szCs w:val="24"/>
          <w:shd w:val="clear" w:color="auto" w:fill="FFFFFF"/>
        </w:rPr>
        <w:t xml:space="preserve"> como parte de </w:t>
      </w:r>
      <w:r w:rsidR="00B47A27" w:rsidRPr="002A73A5">
        <w:rPr>
          <w:rFonts w:ascii="Times New Roman" w:hAnsi="Times New Roman" w:cs="Times New Roman"/>
          <w:color w:val="auto"/>
          <w:sz w:val="24"/>
          <w:szCs w:val="24"/>
          <w:shd w:val="clear" w:color="auto" w:fill="FFFFFF"/>
        </w:rPr>
        <w:t>las</w:t>
      </w:r>
      <w:r w:rsidRPr="002A73A5">
        <w:rPr>
          <w:rFonts w:ascii="Times New Roman" w:hAnsi="Times New Roman" w:cs="Times New Roman"/>
          <w:color w:val="auto"/>
          <w:sz w:val="24"/>
          <w:szCs w:val="24"/>
          <w:shd w:val="clear" w:color="auto" w:fill="FFFFFF"/>
        </w:rPr>
        <w:t xml:space="preserve"> condiciones de posibilidad </w:t>
      </w:r>
      <w:r w:rsidR="00B47A27" w:rsidRPr="002A73A5">
        <w:rPr>
          <w:rFonts w:ascii="Times New Roman" w:hAnsi="Times New Roman" w:cs="Times New Roman"/>
          <w:color w:val="auto"/>
          <w:sz w:val="24"/>
          <w:szCs w:val="24"/>
          <w:shd w:val="clear" w:color="auto" w:fill="FFFFFF"/>
        </w:rPr>
        <w:t xml:space="preserve">de </w:t>
      </w:r>
      <w:r w:rsidR="00F9368F" w:rsidRPr="002A73A5">
        <w:rPr>
          <w:rFonts w:ascii="Times New Roman" w:hAnsi="Times New Roman" w:cs="Times New Roman"/>
          <w:color w:val="auto"/>
          <w:sz w:val="24"/>
          <w:szCs w:val="24"/>
          <w:shd w:val="clear" w:color="auto" w:fill="FFFFFF"/>
        </w:rPr>
        <w:t>los mismos,</w:t>
      </w:r>
      <w:r w:rsidR="00193BB9" w:rsidRPr="002A73A5">
        <w:rPr>
          <w:rFonts w:ascii="Times New Roman" w:hAnsi="Times New Roman" w:cs="Times New Roman"/>
          <w:color w:val="auto"/>
          <w:sz w:val="24"/>
          <w:szCs w:val="24"/>
          <w:shd w:val="clear" w:color="auto" w:fill="FFFFFF"/>
        </w:rPr>
        <w:t xml:space="preserve"> </w:t>
      </w:r>
      <w:r w:rsidRPr="002A73A5">
        <w:rPr>
          <w:rFonts w:ascii="Times New Roman" w:hAnsi="Times New Roman" w:cs="Times New Roman"/>
          <w:color w:val="auto"/>
          <w:sz w:val="24"/>
          <w:szCs w:val="24"/>
          <w:shd w:val="clear" w:color="auto" w:fill="FFFFFF"/>
        </w:rPr>
        <w:t xml:space="preserve">al </w:t>
      </w:r>
      <w:r w:rsidR="00B47A27" w:rsidRPr="002A73A5">
        <w:rPr>
          <w:rFonts w:ascii="Times New Roman" w:hAnsi="Times New Roman" w:cs="Times New Roman"/>
          <w:color w:val="auto"/>
          <w:sz w:val="24"/>
          <w:szCs w:val="24"/>
          <w:shd w:val="clear" w:color="auto" w:fill="FFFFFF"/>
        </w:rPr>
        <w:t xml:space="preserve">importante </w:t>
      </w:r>
      <w:r w:rsidRPr="002A73A5">
        <w:rPr>
          <w:rFonts w:ascii="Times New Roman" w:hAnsi="Times New Roman" w:cs="Times New Roman"/>
          <w:color w:val="auto"/>
          <w:sz w:val="24"/>
          <w:szCs w:val="24"/>
          <w:shd w:val="clear" w:color="auto" w:fill="FFFFFF"/>
        </w:rPr>
        <w:t>apoyo que Justicia Legítima recibió desde su aparición pública</w:t>
      </w:r>
      <w:r w:rsidR="00F9368F" w:rsidRPr="002A73A5">
        <w:rPr>
          <w:rFonts w:ascii="Times New Roman" w:hAnsi="Times New Roman" w:cs="Times New Roman"/>
          <w:color w:val="auto"/>
          <w:sz w:val="24"/>
          <w:szCs w:val="24"/>
          <w:shd w:val="clear" w:color="auto" w:fill="FFFFFF"/>
        </w:rPr>
        <w:t>.</w:t>
      </w:r>
    </w:p>
    <w:p w:rsidR="00CC3BFF" w:rsidRPr="002A73A5" w:rsidRDefault="00CC3BFF" w:rsidP="00CC3BFF">
      <w:pPr>
        <w:pStyle w:val="Normal1"/>
        <w:spacing w:after="0" w:line="360" w:lineRule="auto"/>
        <w:jc w:val="both"/>
        <w:rPr>
          <w:rFonts w:ascii="Times New Roman" w:eastAsia="Arial" w:hAnsi="Times New Roman" w:cs="Times New Roman"/>
          <w:color w:val="auto"/>
          <w:sz w:val="24"/>
          <w:szCs w:val="24"/>
          <w:shd w:val="clear" w:color="auto" w:fill="EA9999"/>
        </w:rPr>
      </w:pPr>
      <w:r w:rsidRPr="002A73A5">
        <w:rPr>
          <w:rFonts w:ascii="Times New Roman" w:hAnsi="Times New Roman" w:cs="Times New Roman"/>
          <w:color w:val="auto"/>
          <w:sz w:val="24"/>
          <w:szCs w:val="24"/>
          <w:shd w:val="clear" w:color="auto" w:fill="FFFFFF"/>
        </w:rPr>
        <w:t>El 3 de junio de, todos los proyectos ya habían sido tratados y convertidos el ley.</w:t>
      </w:r>
      <w:r w:rsidRPr="002A73A5">
        <w:rPr>
          <w:rStyle w:val="Refdenotaalpie"/>
          <w:rFonts w:ascii="Times New Roman" w:hAnsi="Times New Roman" w:cs="Times New Roman"/>
          <w:color w:val="auto"/>
          <w:sz w:val="24"/>
          <w:szCs w:val="24"/>
          <w:shd w:val="clear" w:color="auto" w:fill="FFFFFF"/>
        </w:rPr>
        <w:footnoteReference w:id="75"/>
      </w:r>
      <w:r w:rsidRPr="002A73A5">
        <w:rPr>
          <w:rFonts w:ascii="Times New Roman" w:hAnsi="Times New Roman" w:cs="Times New Roman"/>
          <w:color w:val="auto"/>
          <w:sz w:val="24"/>
          <w:szCs w:val="24"/>
          <w:shd w:val="clear" w:color="auto" w:fill="FFFFFF"/>
        </w:rPr>
        <w:t xml:space="preserve"> No obstante, varias de las normas fueron cuestionadas por sectores de la oposición y declaradas inconstitucionales por la Corte Suprema de Justicia de la Nación </w:t>
      </w:r>
      <w:r w:rsidRPr="002A73A5">
        <w:rPr>
          <w:rFonts w:ascii="Times New Roman" w:hAnsi="Times New Roman" w:cs="Times New Roman"/>
          <w:color w:val="auto"/>
          <w:sz w:val="24"/>
          <w:szCs w:val="24"/>
        </w:rPr>
        <w:t>ese mismo mes.</w:t>
      </w:r>
    </w:p>
    <w:p w:rsidR="00CC3BFF" w:rsidRPr="002A73A5" w:rsidRDefault="00CC3BFF" w:rsidP="00CC3BFF">
      <w:pPr>
        <w:pStyle w:val="Normal1"/>
        <w:spacing w:after="0" w:line="360" w:lineRule="auto"/>
        <w:jc w:val="both"/>
        <w:rPr>
          <w:rFonts w:ascii="Times New Roman" w:eastAsia="Arial" w:hAnsi="Times New Roman" w:cs="Times New Roman"/>
          <w:color w:val="auto"/>
          <w:sz w:val="24"/>
          <w:szCs w:val="24"/>
        </w:rPr>
      </w:pPr>
      <w:r w:rsidRPr="002A73A5">
        <w:rPr>
          <w:rFonts w:ascii="Times New Roman" w:eastAsia="Arial" w:hAnsi="Times New Roman" w:cs="Times New Roman"/>
          <w:color w:val="auto"/>
          <w:sz w:val="24"/>
          <w:szCs w:val="24"/>
        </w:rPr>
        <w:t xml:space="preserve">Por su parte, si bien la FMA sí tuvo participación en el proceso de gestación de la Ley 26.364 de Trata de personas y asistencia a la víctima sancionada en el 2008, pero ésta no reflejó la propuesta original del grupo de Trimarco. De hecho, el proyecto de ley presentado por Aníbal Fernández recibió varias críticas por parte de Trimarco. La principal, reclamaba eliminar la figura de consentimiento como situación que morigeraba la sentencia del tratante. </w:t>
      </w:r>
    </w:p>
    <w:p w:rsidR="00CC3BFF" w:rsidRPr="002A73A5" w:rsidRDefault="00CC3BFF" w:rsidP="00CC3BFF">
      <w:pPr>
        <w:pStyle w:val="Normal1"/>
        <w:spacing w:after="0" w:line="360" w:lineRule="auto"/>
        <w:jc w:val="both"/>
        <w:rPr>
          <w:rFonts w:ascii="Times New Roman" w:eastAsia="Arial" w:hAnsi="Times New Roman" w:cs="Times New Roman"/>
          <w:color w:val="auto"/>
          <w:sz w:val="24"/>
          <w:szCs w:val="24"/>
        </w:rPr>
      </w:pPr>
      <w:r w:rsidRPr="002A73A5">
        <w:rPr>
          <w:rFonts w:ascii="Times New Roman" w:eastAsia="Arial" w:hAnsi="Times New Roman" w:cs="Times New Roman"/>
          <w:color w:val="auto"/>
          <w:sz w:val="24"/>
          <w:szCs w:val="24"/>
        </w:rPr>
        <w:t xml:space="preserve">Fue recién en el año 2012, luego del cuestionado fallo absolutorio del juicio por la desaparición de Marita Verón, que la ley fue modificada representando esta vez al proyecto impulsado inicialmente por la FMA. </w:t>
      </w:r>
    </w:p>
    <w:p w:rsidR="0011765C" w:rsidRPr="007E56DA" w:rsidRDefault="00BE3B7A" w:rsidP="00BE3B7A">
      <w:pPr>
        <w:pStyle w:val="Normal1"/>
        <w:spacing w:after="0" w:line="360" w:lineRule="auto"/>
        <w:jc w:val="both"/>
        <w:rPr>
          <w:rFonts w:ascii="Times New Roman" w:eastAsia="Arial" w:hAnsi="Times New Roman" w:cs="Times New Roman"/>
          <w:color w:val="auto"/>
          <w:sz w:val="24"/>
          <w:szCs w:val="24"/>
        </w:rPr>
      </w:pPr>
      <w:r w:rsidRPr="002A73A5">
        <w:rPr>
          <w:rFonts w:ascii="Times New Roman" w:eastAsia="Arial" w:hAnsi="Times New Roman" w:cs="Times New Roman"/>
          <w:color w:val="auto"/>
          <w:sz w:val="24"/>
          <w:szCs w:val="24"/>
        </w:rPr>
        <w:t xml:space="preserve">A modo de cierre, pudimos constatar </w:t>
      </w:r>
      <w:r w:rsidR="001932A3" w:rsidRPr="002A73A5">
        <w:rPr>
          <w:rFonts w:ascii="Times New Roman" w:eastAsia="Arial" w:hAnsi="Times New Roman" w:cs="Times New Roman"/>
          <w:color w:val="auto"/>
          <w:sz w:val="24"/>
          <w:szCs w:val="24"/>
        </w:rPr>
        <w:t xml:space="preserve">nuestros supuestos iniciales, en la línea de lo que también </w:t>
      </w:r>
      <w:r w:rsidRPr="002A73A5">
        <w:rPr>
          <w:rFonts w:ascii="Times New Roman" w:eastAsia="Arial" w:hAnsi="Times New Roman" w:cs="Times New Roman"/>
          <w:color w:val="auto"/>
          <w:sz w:val="24"/>
          <w:szCs w:val="24"/>
        </w:rPr>
        <w:t>advierten Segura y Waisbord</w:t>
      </w:r>
      <w:r w:rsidR="00491143" w:rsidRPr="002A73A5">
        <w:rPr>
          <w:rFonts w:ascii="Times New Roman" w:eastAsia="Arial" w:hAnsi="Times New Roman" w:cs="Times New Roman"/>
          <w:color w:val="auto"/>
          <w:sz w:val="24"/>
          <w:szCs w:val="24"/>
        </w:rPr>
        <w:t xml:space="preserve">: las </w:t>
      </w:r>
      <w:r w:rsidR="001932A3" w:rsidRPr="002A73A5">
        <w:rPr>
          <w:rFonts w:ascii="Times New Roman" w:eastAsia="Arial" w:hAnsi="Times New Roman" w:cs="Times New Roman"/>
          <w:color w:val="auto"/>
          <w:sz w:val="24"/>
          <w:szCs w:val="24"/>
        </w:rPr>
        <w:t xml:space="preserve">OSC </w:t>
      </w:r>
      <w:r w:rsidR="0011765C" w:rsidRPr="002A73A5">
        <w:rPr>
          <w:rFonts w:ascii="Times New Roman" w:eastAsia="Arial" w:hAnsi="Times New Roman" w:cs="Times New Roman"/>
          <w:color w:val="auto"/>
          <w:sz w:val="24"/>
          <w:szCs w:val="24"/>
        </w:rPr>
        <w:t>crean alianzas</w:t>
      </w:r>
      <w:r w:rsidR="001932A3" w:rsidRPr="002A73A5">
        <w:rPr>
          <w:rFonts w:ascii="Times New Roman" w:eastAsia="Arial" w:hAnsi="Times New Roman" w:cs="Times New Roman"/>
          <w:color w:val="auto"/>
          <w:sz w:val="24"/>
          <w:szCs w:val="24"/>
        </w:rPr>
        <w:t xml:space="preserve">, </w:t>
      </w:r>
      <w:r w:rsidR="0011765C" w:rsidRPr="002A73A5">
        <w:rPr>
          <w:rFonts w:ascii="Times New Roman" w:eastAsia="Arial" w:hAnsi="Times New Roman" w:cs="Times New Roman"/>
          <w:color w:val="auto"/>
          <w:sz w:val="24"/>
          <w:szCs w:val="24"/>
        </w:rPr>
        <w:t xml:space="preserve">redes, </w:t>
      </w:r>
      <w:r w:rsidR="001932A3" w:rsidRPr="002A73A5">
        <w:rPr>
          <w:rFonts w:ascii="Times New Roman" w:eastAsia="Arial" w:hAnsi="Times New Roman" w:cs="Times New Roman"/>
          <w:color w:val="auto"/>
          <w:sz w:val="24"/>
          <w:szCs w:val="24"/>
        </w:rPr>
        <w:t>se asocian con</w:t>
      </w:r>
      <w:r w:rsidR="0011765C" w:rsidRPr="002A73A5">
        <w:rPr>
          <w:rFonts w:ascii="Times New Roman" w:eastAsia="Arial" w:hAnsi="Times New Roman" w:cs="Times New Roman"/>
          <w:color w:val="auto"/>
          <w:sz w:val="24"/>
          <w:szCs w:val="24"/>
        </w:rPr>
        <w:t xml:space="preserve"> expertos, producen información</w:t>
      </w:r>
      <w:r w:rsidR="001932A3" w:rsidRPr="002A73A5">
        <w:rPr>
          <w:rFonts w:ascii="Times New Roman" w:eastAsia="Arial" w:hAnsi="Times New Roman" w:cs="Times New Roman"/>
          <w:color w:val="auto"/>
          <w:sz w:val="24"/>
          <w:szCs w:val="24"/>
        </w:rPr>
        <w:t xml:space="preserve"> y procuran su divulgación</w:t>
      </w:r>
      <w:r w:rsidR="0011765C" w:rsidRPr="002A73A5">
        <w:rPr>
          <w:rFonts w:ascii="Times New Roman" w:eastAsia="Arial" w:hAnsi="Times New Roman" w:cs="Times New Roman"/>
          <w:color w:val="auto"/>
          <w:sz w:val="24"/>
          <w:szCs w:val="24"/>
        </w:rPr>
        <w:t>,</w:t>
      </w:r>
      <w:r w:rsidR="001932A3" w:rsidRPr="002A73A5">
        <w:rPr>
          <w:rFonts w:ascii="Times New Roman" w:eastAsia="Arial" w:hAnsi="Times New Roman" w:cs="Times New Roman"/>
          <w:color w:val="auto"/>
          <w:sz w:val="24"/>
          <w:szCs w:val="24"/>
        </w:rPr>
        <w:t xml:space="preserve"> impulsan instancias de </w:t>
      </w:r>
      <w:r w:rsidR="001932A3" w:rsidRPr="002A73A5">
        <w:rPr>
          <w:rFonts w:ascii="Times New Roman" w:eastAsia="Arial" w:hAnsi="Times New Roman" w:cs="Times New Roman"/>
          <w:color w:val="auto"/>
          <w:sz w:val="24"/>
          <w:szCs w:val="24"/>
        </w:rPr>
        <w:lastRenderedPageBreak/>
        <w:t>formación en base a esa información,</w:t>
      </w:r>
      <w:r w:rsidR="0011765C" w:rsidRPr="002A73A5">
        <w:rPr>
          <w:rFonts w:ascii="Times New Roman" w:eastAsia="Arial" w:hAnsi="Times New Roman" w:cs="Times New Roman"/>
          <w:color w:val="auto"/>
          <w:sz w:val="24"/>
          <w:szCs w:val="24"/>
        </w:rPr>
        <w:t xml:space="preserve"> expresan su</w:t>
      </w:r>
      <w:r w:rsidR="001932A3" w:rsidRPr="002A73A5">
        <w:rPr>
          <w:rFonts w:ascii="Times New Roman" w:eastAsia="Arial" w:hAnsi="Times New Roman" w:cs="Times New Roman"/>
          <w:color w:val="auto"/>
          <w:sz w:val="24"/>
          <w:szCs w:val="24"/>
        </w:rPr>
        <w:t>s</w:t>
      </w:r>
      <w:r w:rsidR="0011765C" w:rsidRPr="002A73A5">
        <w:rPr>
          <w:rFonts w:ascii="Times New Roman" w:eastAsia="Arial" w:hAnsi="Times New Roman" w:cs="Times New Roman"/>
          <w:color w:val="auto"/>
          <w:sz w:val="24"/>
          <w:szCs w:val="24"/>
        </w:rPr>
        <w:t xml:space="preserve"> posici</w:t>
      </w:r>
      <w:r w:rsidR="001932A3" w:rsidRPr="002A73A5">
        <w:rPr>
          <w:rFonts w:ascii="Times New Roman" w:eastAsia="Arial" w:hAnsi="Times New Roman" w:cs="Times New Roman"/>
          <w:color w:val="auto"/>
          <w:sz w:val="24"/>
          <w:szCs w:val="24"/>
        </w:rPr>
        <w:t xml:space="preserve">ones públicamente promoviendo </w:t>
      </w:r>
      <w:r w:rsidR="0011765C" w:rsidRPr="002A73A5">
        <w:rPr>
          <w:rFonts w:ascii="Times New Roman" w:eastAsia="Arial" w:hAnsi="Times New Roman" w:cs="Times New Roman"/>
          <w:color w:val="auto"/>
          <w:sz w:val="24"/>
          <w:szCs w:val="24"/>
        </w:rPr>
        <w:t>el debate</w:t>
      </w:r>
      <w:r w:rsidR="001932A3" w:rsidRPr="002A73A5">
        <w:rPr>
          <w:rFonts w:ascii="Times New Roman" w:eastAsia="Arial" w:hAnsi="Times New Roman" w:cs="Times New Roman"/>
          <w:color w:val="auto"/>
          <w:sz w:val="24"/>
          <w:szCs w:val="24"/>
        </w:rPr>
        <w:t>, impulsan</w:t>
      </w:r>
      <w:r w:rsidR="0011765C" w:rsidRPr="002A73A5">
        <w:rPr>
          <w:rFonts w:ascii="Times New Roman" w:eastAsia="Arial" w:hAnsi="Times New Roman" w:cs="Times New Roman"/>
          <w:color w:val="auto"/>
          <w:sz w:val="24"/>
          <w:szCs w:val="24"/>
        </w:rPr>
        <w:t xml:space="preserve"> propuestas y proyectos de ley</w:t>
      </w:r>
      <w:r w:rsidR="001932A3" w:rsidRPr="002A73A5">
        <w:rPr>
          <w:rFonts w:ascii="Times New Roman" w:eastAsia="Arial" w:hAnsi="Times New Roman" w:cs="Times New Roman"/>
          <w:color w:val="auto"/>
          <w:sz w:val="24"/>
          <w:szCs w:val="24"/>
        </w:rPr>
        <w:t>, “hacen</w:t>
      </w:r>
      <w:r w:rsidR="00CC0DF2" w:rsidRPr="002A73A5">
        <w:rPr>
          <w:rFonts w:ascii="Times New Roman" w:eastAsia="Arial" w:hAnsi="Times New Roman" w:cs="Times New Roman"/>
          <w:color w:val="auto"/>
          <w:sz w:val="24"/>
          <w:szCs w:val="24"/>
        </w:rPr>
        <w:t xml:space="preserve"> </w:t>
      </w:r>
      <w:r w:rsidR="0011765C" w:rsidRPr="002A73A5">
        <w:rPr>
          <w:rFonts w:ascii="Times New Roman" w:eastAsia="Arial" w:hAnsi="Times New Roman" w:cs="Times New Roman"/>
          <w:i/>
          <w:color w:val="auto"/>
          <w:sz w:val="24"/>
          <w:szCs w:val="24"/>
        </w:rPr>
        <w:t>lobby</w:t>
      </w:r>
      <w:r w:rsidR="0011765C" w:rsidRPr="002A73A5">
        <w:rPr>
          <w:rFonts w:ascii="Times New Roman" w:eastAsia="Arial" w:hAnsi="Times New Roman" w:cs="Times New Roman"/>
          <w:color w:val="auto"/>
          <w:sz w:val="24"/>
          <w:szCs w:val="24"/>
        </w:rPr>
        <w:t>, integran los mecanismos de participación existentes e impulsan la creación de otros nuevos, utilizan los mecanismos administrativos y judiciales de aplicación y reclamo de derechos, se movilizan en las calles</w:t>
      </w:r>
      <w:r w:rsidRPr="002A73A5">
        <w:rPr>
          <w:rFonts w:ascii="Times New Roman" w:eastAsia="Arial" w:hAnsi="Times New Roman" w:cs="Times New Roman"/>
          <w:color w:val="auto"/>
          <w:sz w:val="24"/>
          <w:szCs w:val="24"/>
        </w:rPr>
        <w:t>”</w:t>
      </w:r>
      <w:r w:rsidR="00EC7B4B" w:rsidRPr="002A73A5">
        <w:rPr>
          <w:rFonts w:ascii="Times New Roman" w:eastAsia="Arial" w:hAnsi="Times New Roman" w:cs="Times New Roman"/>
          <w:color w:val="auto"/>
          <w:sz w:val="24"/>
          <w:szCs w:val="24"/>
        </w:rPr>
        <w:t xml:space="preserve"> (2016: 5)</w:t>
      </w:r>
      <w:r w:rsidR="00491143" w:rsidRPr="002A73A5">
        <w:rPr>
          <w:rFonts w:ascii="Times New Roman" w:eastAsia="Arial" w:hAnsi="Times New Roman" w:cs="Times New Roman"/>
          <w:color w:val="auto"/>
          <w:sz w:val="24"/>
          <w:szCs w:val="24"/>
        </w:rPr>
        <w:t>, en virtud de las oportunidades políticas que se les presentan y de sus propias capacidades institucionales, de acuerdo a sus necesidades y en el marco del espacio de posibles en un momento determinado.</w:t>
      </w:r>
      <w:r w:rsidR="00CC0DF2" w:rsidRPr="002A73A5">
        <w:rPr>
          <w:rFonts w:ascii="Times New Roman" w:eastAsia="Arial" w:hAnsi="Times New Roman" w:cs="Times New Roman"/>
          <w:color w:val="auto"/>
          <w:sz w:val="24"/>
          <w:szCs w:val="24"/>
        </w:rPr>
        <w:t xml:space="preserve"> </w:t>
      </w:r>
      <w:r w:rsidR="00825319" w:rsidRPr="002A73A5">
        <w:rPr>
          <w:rFonts w:ascii="Times New Roman" w:eastAsia="Arial" w:hAnsi="Times New Roman" w:cs="Times New Roman"/>
          <w:color w:val="auto"/>
          <w:sz w:val="24"/>
          <w:szCs w:val="24"/>
        </w:rPr>
        <w:t>L</w:t>
      </w:r>
      <w:r w:rsidR="001E2DB5" w:rsidRPr="002A73A5">
        <w:rPr>
          <w:rFonts w:ascii="Times New Roman" w:eastAsia="Arial" w:hAnsi="Times New Roman" w:cs="Times New Roman"/>
          <w:color w:val="auto"/>
          <w:sz w:val="24"/>
          <w:szCs w:val="24"/>
        </w:rPr>
        <w:t>os casos analizados, al verse fortalecidas a lo largo de sus trayectorias</w:t>
      </w:r>
      <w:r w:rsidR="00977D8A" w:rsidRPr="002A73A5">
        <w:rPr>
          <w:rFonts w:ascii="Times New Roman" w:eastAsia="Arial" w:hAnsi="Times New Roman" w:cs="Times New Roman"/>
          <w:color w:val="auto"/>
          <w:sz w:val="24"/>
          <w:szCs w:val="24"/>
        </w:rPr>
        <w:t xml:space="preserve"> y en la concreción de sus</w:t>
      </w:r>
      <w:r w:rsidR="006E38EC" w:rsidRPr="002A73A5">
        <w:rPr>
          <w:rFonts w:ascii="Times New Roman" w:eastAsia="Arial" w:hAnsi="Times New Roman" w:cs="Times New Roman"/>
          <w:color w:val="auto"/>
          <w:sz w:val="24"/>
          <w:szCs w:val="24"/>
        </w:rPr>
        <w:t xml:space="preserve"> propósitos de incidencia, se </w:t>
      </w:r>
      <w:r w:rsidR="00825319" w:rsidRPr="002A73A5">
        <w:rPr>
          <w:rFonts w:ascii="Times New Roman" w:eastAsia="Arial" w:hAnsi="Times New Roman" w:cs="Times New Roman"/>
          <w:color w:val="auto"/>
          <w:sz w:val="24"/>
          <w:szCs w:val="24"/>
        </w:rPr>
        <w:t>constituyen</w:t>
      </w:r>
      <w:r w:rsidR="006E38EC" w:rsidRPr="002A73A5">
        <w:rPr>
          <w:rFonts w:ascii="Times New Roman" w:eastAsia="Arial" w:hAnsi="Times New Roman" w:cs="Times New Roman"/>
          <w:color w:val="auto"/>
          <w:sz w:val="24"/>
          <w:szCs w:val="24"/>
        </w:rPr>
        <w:t xml:space="preserve"> como nuevos antecedentes del </w:t>
      </w:r>
      <w:r w:rsidR="001E2DB5" w:rsidRPr="002A73A5">
        <w:rPr>
          <w:rFonts w:ascii="Times New Roman" w:eastAsia="Arial" w:hAnsi="Times New Roman" w:cs="Times New Roman"/>
          <w:color w:val="auto"/>
          <w:sz w:val="24"/>
          <w:szCs w:val="24"/>
        </w:rPr>
        <w:t xml:space="preserve">fortalecimiento de </w:t>
      </w:r>
      <w:r w:rsidR="006E38EC" w:rsidRPr="002A73A5">
        <w:rPr>
          <w:rFonts w:ascii="Times New Roman" w:eastAsia="Arial" w:hAnsi="Times New Roman" w:cs="Times New Roman"/>
          <w:color w:val="auto"/>
          <w:sz w:val="24"/>
          <w:szCs w:val="24"/>
        </w:rPr>
        <w:t xml:space="preserve">los procesos de democratización </w:t>
      </w:r>
      <w:r w:rsidR="00825319" w:rsidRPr="002A73A5">
        <w:rPr>
          <w:rFonts w:ascii="Times New Roman" w:eastAsia="Arial" w:hAnsi="Times New Roman" w:cs="Times New Roman"/>
          <w:color w:val="auto"/>
          <w:sz w:val="24"/>
          <w:szCs w:val="24"/>
        </w:rPr>
        <w:t xml:space="preserve">de la definición de políticas, resultado de </w:t>
      </w:r>
      <w:r w:rsidR="001E2DB5" w:rsidRPr="002A73A5">
        <w:rPr>
          <w:rFonts w:ascii="Times New Roman" w:eastAsia="Arial" w:hAnsi="Times New Roman" w:cs="Times New Roman"/>
          <w:color w:val="auto"/>
          <w:sz w:val="24"/>
          <w:szCs w:val="24"/>
        </w:rPr>
        <w:t>procesos de debate público con la participación de los sectores sociales implicados.</w:t>
      </w:r>
    </w:p>
    <w:p w:rsidR="00491143" w:rsidRPr="007E56DA" w:rsidRDefault="00491143" w:rsidP="0065650C">
      <w:pPr>
        <w:pStyle w:val="Normal1"/>
        <w:spacing w:after="0" w:line="360" w:lineRule="auto"/>
        <w:jc w:val="both"/>
        <w:rPr>
          <w:rFonts w:ascii="Times New Roman" w:hAnsi="Times New Roman" w:cs="Times New Roman"/>
          <w:color w:val="auto"/>
          <w:sz w:val="24"/>
          <w:szCs w:val="24"/>
          <w:shd w:val="clear" w:color="auto" w:fill="FFFFFF"/>
        </w:rPr>
      </w:pPr>
    </w:p>
    <w:p w:rsidR="00562A99" w:rsidRPr="007E56DA" w:rsidRDefault="00B638FD" w:rsidP="0065650C">
      <w:pPr>
        <w:pStyle w:val="Normal1"/>
        <w:spacing w:after="0" w:line="360" w:lineRule="auto"/>
        <w:jc w:val="both"/>
        <w:rPr>
          <w:rFonts w:ascii="Times New Roman" w:eastAsia="Arial" w:hAnsi="Times New Roman" w:cs="Times New Roman"/>
          <w:b/>
          <w:color w:val="auto"/>
          <w:sz w:val="24"/>
          <w:szCs w:val="24"/>
        </w:rPr>
      </w:pPr>
      <w:r w:rsidRPr="007E56DA">
        <w:rPr>
          <w:rFonts w:ascii="Times New Roman" w:hAnsi="Times New Roman" w:cs="Times New Roman"/>
          <w:color w:val="auto"/>
          <w:sz w:val="24"/>
          <w:szCs w:val="24"/>
        </w:rPr>
        <w:br/>
      </w:r>
      <w:r w:rsidR="00407E62" w:rsidRPr="007E56DA">
        <w:rPr>
          <w:rFonts w:ascii="Times New Roman" w:eastAsia="Arial" w:hAnsi="Times New Roman" w:cs="Times New Roman"/>
          <w:b/>
          <w:color w:val="auto"/>
          <w:sz w:val="24"/>
          <w:szCs w:val="24"/>
        </w:rPr>
        <w:t>Referencias bibliográficas</w:t>
      </w:r>
    </w:p>
    <w:p w:rsidR="00260C46" w:rsidRPr="007E56DA" w:rsidRDefault="00260C46" w:rsidP="00EE5503">
      <w:pPr>
        <w:pStyle w:val="Normal10"/>
        <w:spacing w:after="0" w:line="360" w:lineRule="auto"/>
        <w:ind w:left="284" w:hanging="284"/>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ACUÑA, Carlos y VACCHIERI, Ariana (2007). </w:t>
      </w:r>
      <w:r w:rsidRPr="007E56DA">
        <w:rPr>
          <w:rFonts w:ascii="Times New Roman" w:eastAsia="Times New Roman" w:hAnsi="Times New Roman" w:cs="Times New Roman"/>
          <w:i/>
          <w:color w:val="auto"/>
          <w:sz w:val="24"/>
          <w:szCs w:val="24"/>
        </w:rPr>
        <w:t xml:space="preserve">La incidencia política de la sociedad civil. </w:t>
      </w:r>
      <w:r w:rsidRPr="007E56DA">
        <w:rPr>
          <w:rFonts w:ascii="Times New Roman" w:eastAsia="Times New Roman" w:hAnsi="Times New Roman" w:cs="Times New Roman"/>
          <w:color w:val="auto"/>
          <w:sz w:val="24"/>
          <w:szCs w:val="24"/>
        </w:rPr>
        <w:t>Buenos Aires: Edit. Siglo XXI.</w:t>
      </w:r>
    </w:p>
    <w:p w:rsidR="002703EE" w:rsidRPr="007E56DA" w:rsidRDefault="004D7635" w:rsidP="00EE5503">
      <w:pPr>
        <w:pStyle w:val="Normal10"/>
        <w:spacing w:after="0" w:line="360" w:lineRule="auto"/>
        <w:ind w:left="284" w:hanging="284"/>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BARBERO</w:t>
      </w:r>
      <w:r w:rsidR="002703EE" w:rsidRPr="007E56DA">
        <w:rPr>
          <w:rFonts w:ascii="Times New Roman" w:eastAsia="Times New Roman" w:hAnsi="Times New Roman" w:cs="Times New Roman"/>
          <w:color w:val="auto"/>
          <w:sz w:val="24"/>
          <w:szCs w:val="24"/>
        </w:rPr>
        <w:t xml:space="preserve">, Jesús Martín (1981) </w:t>
      </w:r>
      <w:r w:rsidR="002703EE" w:rsidRPr="007E56DA">
        <w:rPr>
          <w:rFonts w:ascii="Times New Roman" w:eastAsia="Times New Roman" w:hAnsi="Times New Roman" w:cs="Times New Roman"/>
          <w:i/>
          <w:color w:val="auto"/>
          <w:sz w:val="24"/>
          <w:szCs w:val="24"/>
        </w:rPr>
        <w:t>Prácticas de comunicación en la cultura popular: mercados, plazas, cementerios y espacios de ocio. Comunicación alternativa y cambio social</w:t>
      </w:r>
      <w:r w:rsidR="002703EE" w:rsidRPr="007E56DA">
        <w:rPr>
          <w:rFonts w:ascii="Times New Roman" w:eastAsia="Times New Roman" w:hAnsi="Times New Roman" w:cs="Times New Roman"/>
          <w:color w:val="auto"/>
          <w:sz w:val="24"/>
          <w:szCs w:val="24"/>
        </w:rPr>
        <w:t>, UNAM, México.</w:t>
      </w:r>
    </w:p>
    <w:p w:rsidR="002703EE" w:rsidRPr="007E56DA" w:rsidRDefault="004D7635" w:rsidP="00EE5503">
      <w:pPr>
        <w:pStyle w:val="Normal10"/>
        <w:spacing w:after="0" w:line="360" w:lineRule="auto"/>
        <w:ind w:left="284" w:hanging="284"/>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BOURDIEU</w:t>
      </w:r>
      <w:r w:rsidR="002703EE" w:rsidRPr="007E56DA">
        <w:rPr>
          <w:rFonts w:ascii="Times New Roman" w:eastAsia="Times New Roman" w:hAnsi="Times New Roman" w:cs="Times New Roman"/>
          <w:color w:val="auto"/>
          <w:sz w:val="24"/>
          <w:szCs w:val="24"/>
        </w:rPr>
        <w:t>, P</w:t>
      </w:r>
      <w:r w:rsidRPr="007E56DA">
        <w:rPr>
          <w:rFonts w:ascii="Times New Roman" w:eastAsia="Times New Roman" w:hAnsi="Times New Roman" w:cs="Times New Roman"/>
          <w:color w:val="auto"/>
          <w:sz w:val="24"/>
          <w:szCs w:val="24"/>
        </w:rPr>
        <w:t>ierre</w:t>
      </w:r>
      <w:r w:rsidR="002703EE" w:rsidRPr="007E56DA">
        <w:rPr>
          <w:rFonts w:ascii="Times New Roman" w:eastAsia="Times New Roman" w:hAnsi="Times New Roman" w:cs="Times New Roman"/>
          <w:color w:val="auto"/>
          <w:sz w:val="24"/>
          <w:szCs w:val="24"/>
        </w:rPr>
        <w:t xml:space="preserve"> (2000) </w:t>
      </w:r>
      <w:r w:rsidRPr="007E56DA">
        <w:rPr>
          <w:rFonts w:ascii="Times New Roman" w:eastAsia="Times New Roman" w:hAnsi="Times New Roman" w:cs="Times New Roman"/>
          <w:i/>
          <w:color w:val="auto"/>
          <w:sz w:val="24"/>
          <w:szCs w:val="24"/>
        </w:rPr>
        <w:t>Cosas d</w:t>
      </w:r>
      <w:r w:rsidR="002703EE" w:rsidRPr="007E56DA">
        <w:rPr>
          <w:rFonts w:ascii="Times New Roman" w:eastAsia="Times New Roman" w:hAnsi="Times New Roman" w:cs="Times New Roman"/>
          <w:i/>
          <w:color w:val="auto"/>
          <w:sz w:val="24"/>
          <w:szCs w:val="24"/>
        </w:rPr>
        <w:t>ichas</w:t>
      </w:r>
      <w:r w:rsidR="002703EE" w:rsidRPr="007E56DA">
        <w:rPr>
          <w:rFonts w:ascii="Times New Roman" w:eastAsia="Times New Roman" w:hAnsi="Times New Roman" w:cs="Times New Roman"/>
          <w:color w:val="auto"/>
          <w:sz w:val="24"/>
          <w:szCs w:val="24"/>
        </w:rPr>
        <w:t>, Gedisa, Barcelona.</w:t>
      </w:r>
    </w:p>
    <w:p w:rsidR="00A501E2" w:rsidRPr="007E56DA" w:rsidRDefault="004D7635" w:rsidP="00EE5503">
      <w:pPr>
        <w:pStyle w:val="Normal10"/>
        <w:spacing w:after="0" w:line="360" w:lineRule="auto"/>
        <w:ind w:left="284" w:hanging="284"/>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BOURDIEU</w:t>
      </w:r>
      <w:r w:rsidR="00A501E2" w:rsidRPr="007E56DA">
        <w:rPr>
          <w:rFonts w:ascii="Times New Roman" w:eastAsia="Times New Roman" w:hAnsi="Times New Roman" w:cs="Times New Roman"/>
          <w:color w:val="auto"/>
          <w:sz w:val="24"/>
          <w:szCs w:val="24"/>
        </w:rPr>
        <w:t xml:space="preserve">, Pierre (1995) </w:t>
      </w:r>
      <w:r w:rsidR="00A501E2" w:rsidRPr="007E56DA">
        <w:rPr>
          <w:rFonts w:ascii="Times New Roman" w:eastAsia="Times New Roman" w:hAnsi="Times New Roman" w:cs="Times New Roman"/>
          <w:i/>
          <w:color w:val="auto"/>
          <w:sz w:val="24"/>
          <w:szCs w:val="24"/>
        </w:rPr>
        <w:t>Las reglas del arte</w:t>
      </w:r>
      <w:r w:rsidR="00A501E2" w:rsidRPr="007E56DA">
        <w:rPr>
          <w:rFonts w:ascii="Times New Roman" w:eastAsia="Times New Roman" w:hAnsi="Times New Roman" w:cs="Times New Roman"/>
          <w:color w:val="auto"/>
          <w:sz w:val="24"/>
          <w:szCs w:val="24"/>
        </w:rPr>
        <w:t>. Barcelona: Anagrama.</w:t>
      </w:r>
    </w:p>
    <w:p w:rsidR="00EE5503" w:rsidRPr="007E56DA" w:rsidRDefault="00EE5503" w:rsidP="00EE5503">
      <w:pPr>
        <w:pStyle w:val="Normal10"/>
        <w:spacing w:after="0" w:line="360" w:lineRule="auto"/>
        <w:ind w:left="284" w:hanging="284"/>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BOURDIEU, Pierre  (1991) </w:t>
      </w:r>
      <w:r w:rsidRPr="007E56DA">
        <w:rPr>
          <w:rFonts w:ascii="Times New Roman" w:eastAsia="Times New Roman" w:hAnsi="Times New Roman" w:cs="Times New Roman"/>
          <w:i/>
          <w:color w:val="auto"/>
          <w:sz w:val="24"/>
          <w:szCs w:val="24"/>
        </w:rPr>
        <w:t>El sentido práctico.</w:t>
      </w:r>
      <w:r w:rsidRPr="007E56DA">
        <w:rPr>
          <w:rFonts w:ascii="Times New Roman" w:eastAsia="Times New Roman" w:hAnsi="Times New Roman" w:cs="Times New Roman"/>
          <w:color w:val="auto"/>
          <w:sz w:val="24"/>
          <w:szCs w:val="24"/>
        </w:rPr>
        <w:t xml:space="preserve"> Madrid: Taurus.</w:t>
      </w:r>
    </w:p>
    <w:p w:rsidR="00260C46" w:rsidRPr="007E56DA" w:rsidRDefault="00260C46" w:rsidP="00EE5503">
      <w:pPr>
        <w:pStyle w:val="Normal10"/>
        <w:spacing w:after="0" w:line="360" w:lineRule="auto"/>
        <w:ind w:left="284" w:hanging="284"/>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CACOPARDO, Ana. </w:t>
      </w:r>
      <w:r w:rsidRPr="007E56DA">
        <w:rPr>
          <w:rFonts w:ascii="Times New Roman" w:eastAsia="Times New Roman" w:hAnsi="Times New Roman" w:cs="Times New Roman"/>
          <w:i/>
          <w:color w:val="auto"/>
          <w:sz w:val="24"/>
          <w:szCs w:val="24"/>
        </w:rPr>
        <w:t>Historias Debidas.</w:t>
      </w:r>
      <w:r w:rsidRPr="007E56DA">
        <w:rPr>
          <w:rFonts w:ascii="Times New Roman" w:eastAsia="Times New Roman" w:hAnsi="Times New Roman" w:cs="Times New Roman"/>
          <w:color w:val="auto"/>
          <w:sz w:val="24"/>
          <w:szCs w:val="24"/>
        </w:rPr>
        <w:t xml:space="preserve"> Canal Encuentro. Ministerio de Educación, Ciencia y Tecnología de la Nación. Recuperado de: </w:t>
      </w:r>
      <w:hyperlink r:id="rId8"/>
      <w:hyperlink r:id="rId9" w:history="1">
        <w:r w:rsidR="00EE5503" w:rsidRPr="007E56DA">
          <w:rPr>
            <w:rStyle w:val="Hipervnculo"/>
            <w:rFonts w:ascii="Times New Roman" w:eastAsia="Times New Roman" w:hAnsi="Times New Roman" w:cs="Times New Roman"/>
            <w:color w:val="auto"/>
            <w:sz w:val="24"/>
            <w:szCs w:val="24"/>
          </w:rPr>
          <w:t>http://www.encuentro.gov.ar/sitios/encuentro/programas/ver?rec_id=113206</w:t>
        </w:r>
      </w:hyperlink>
    </w:p>
    <w:p w:rsidR="00260C46" w:rsidRPr="007E56DA" w:rsidRDefault="00EE5503" w:rsidP="00EE5503">
      <w:pPr>
        <w:pStyle w:val="Normal10"/>
        <w:spacing w:after="0" w:line="360" w:lineRule="auto"/>
        <w:ind w:left="284" w:hanging="284"/>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CERTEAU</w:t>
      </w:r>
      <w:r w:rsidR="005972F0" w:rsidRPr="007E56DA">
        <w:rPr>
          <w:rFonts w:ascii="Times New Roman" w:eastAsia="Times New Roman" w:hAnsi="Times New Roman" w:cs="Times New Roman"/>
          <w:color w:val="auto"/>
          <w:sz w:val="24"/>
          <w:szCs w:val="24"/>
        </w:rPr>
        <w:t xml:space="preserve">, Michel de (1996) </w:t>
      </w:r>
      <w:r w:rsidR="005972F0" w:rsidRPr="007E56DA">
        <w:rPr>
          <w:rFonts w:ascii="Times New Roman" w:eastAsia="Times New Roman" w:hAnsi="Times New Roman" w:cs="Times New Roman"/>
          <w:i/>
          <w:color w:val="auto"/>
          <w:sz w:val="24"/>
          <w:szCs w:val="24"/>
        </w:rPr>
        <w:t>La invención de lo cotidiano</w:t>
      </w:r>
      <w:r w:rsidR="005972F0" w:rsidRPr="007E56DA">
        <w:rPr>
          <w:rFonts w:ascii="Times New Roman" w:eastAsia="Times New Roman" w:hAnsi="Times New Roman" w:cs="Times New Roman"/>
          <w:color w:val="auto"/>
          <w:sz w:val="24"/>
          <w:szCs w:val="24"/>
        </w:rPr>
        <w:t xml:space="preserve">. México: Universidad Iberoamericana. </w:t>
      </w:r>
      <w:r w:rsidR="00260C46" w:rsidRPr="007E56DA">
        <w:rPr>
          <w:rFonts w:ascii="Times New Roman" w:eastAsia="Times New Roman" w:hAnsi="Times New Roman" w:cs="Times New Roman"/>
          <w:color w:val="auto"/>
          <w:sz w:val="24"/>
          <w:szCs w:val="24"/>
        </w:rPr>
        <w:t xml:space="preserve">CICALESE, Gabriela (2013). Comunicación para la Incidencia. Buenos Aires: La Crujía.  </w:t>
      </w:r>
    </w:p>
    <w:p w:rsidR="00260C46" w:rsidRPr="007E56DA" w:rsidRDefault="00260C46" w:rsidP="00EE5503">
      <w:pPr>
        <w:pStyle w:val="Normal10"/>
        <w:spacing w:after="0" w:line="360" w:lineRule="auto"/>
        <w:ind w:left="284" w:hanging="284"/>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COSTA, Ricardo L. &amp; MOZEJKO, Teresa (2001). </w:t>
      </w:r>
      <w:r w:rsidRPr="007E56DA">
        <w:rPr>
          <w:rFonts w:ascii="Times New Roman" w:eastAsia="Times New Roman" w:hAnsi="Times New Roman" w:cs="Times New Roman"/>
          <w:i/>
          <w:color w:val="auto"/>
          <w:sz w:val="24"/>
          <w:szCs w:val="24"/>
        </w:rPr>
        <w:t>El discurso como espacio de gestión de competencias</w:t>
      </w:r>
      <w:r w:rsidRPr="007E56DA">
        <w:rPr>
          <w:rFonts w:ascii="Times New Roman" w:eastAsia="Times New Roman" w:hAnsi="Times New Roman" w:cs="Times New Roman"/>
          <w:color w:val="auto"/>
          <w:sz w:val="24"/>
          <w:szCs w:val="24"/>
        </w:rPr>
        <w:t>. Universidad de Guadalajara: Departamento de Letras.</w:t>
      </w:r>
    </w:p>
    <w:p w:rsidR="005E4D63" w:rsidRPr="007E56DA" w:rsidRDefault="005E4D63" w:rsidP="00EE5503">
      <w:pPr>
        <w:spacing w:after="0" w:line="360" w:lineRule="auto"/>
        <w:ind w:left="284" w:hanging="284"/>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D</w:t>
      </w:r>
      <w:r w:rsidR="005C765F" w:rsidRPr="007E56DA">
        <w:rPr>
          <w:rFonts w:ascii="Times New Roman" w:hAnsi="Times New Roman" w:cs="Times New Roman"/>
          <w:color w:val="auto"/>
          <w:sz w:val="24"/>
          <w:szCs w:val="24"/>
        </w:rPr>
        <w:t>E PIERO</w:t>
      </w:r>
      <w:r w:rsidRPr="007E56DA">
        <w:rPr>
          <w:rFonts w:ascii="Times New Roman" w:hAnsi="Times New Roman" w:cs="Times New Roman"/>
          <w:color w:val="auto"/>
          <w:sz w:val="24"/>
          <w:szCs w:val="24"/>
        </w:rPr>
        <w:t xml:space="preserve">, Sergio (2005) </w:t>
      </w:r>
      <w:r w:rsidRPr="007E56DA">
        <w:rPr>
          <w:rFonts w:ascii="Times New Roman" w:hAnsi="Times New Roman" w:cs="Times New Roman"/>
          <w:i/>
          <w:color w:val="auto"/>
          <w:sz w:val="24"/>
          <w:szCs w:val="24"/>
        </w:rPr>
        <w:t>Organizaciones de la sociedad civil: tensiones de una agenda en construcción</w:t>
      </w:r>
      <w:r w:rsidRPr="007E56DA">
        <w:rPr>
          <w:rFonts w:ascii="Times New Roman" w:hAnsi="Times New Roman" w:cs="Times New Roman"/>
          <w:color w:val="auto"/>
          <w:sz w:val="24"/>
          <w:szCs w:val="24"/>
        </w:rPr>
        <w:t xml:space="preserve">, Paidós, Buenos Aires. Díaz, E. (1977) </w:t>
      </w:r>
      <w:r w:rsidRPr="007E56DA">
        <w:rPr>
          <w:rFonts w:ascii="Times New Roman" w:hAnsi="Times New Roman" w:cs="Times New Roman"/>
          <w:i/>
          <w:color w:val="auto"/>
          <w:sz w:val="24"/>
          <w:szCs w:val="24"/>
        </w:rPr>
        <w:t xml:space="preserve">Legalidad- legitimidad en el socialismo democrático, </w:t>
      </w:r>
      <w:r w:rsidRPr="007E56DA">
        <w:rPr>
          <w:rFonts w:ascii="Times New Roman" w:hAnsi="Times New Roman" w:cs="Times New Roman"/>
          <w:color w:val="auto"/>
          <w:sz w:val="24"/>
          <w:szCs w:val="24"/>
        </w:rPr>
        <w:t>Civitas, Madrid.</w:t>
      </w:r>
    </w:p>
    <w:p w:rsidR="005E4D63" w:rsidRPr="007E56DA" w:rsidRDefault="005E4D63"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hAnsi="Times New Roman" w:cs="Times New Roman"/>
          <w:color w:val="auto"/>
          <w:sz w:val="24"/>
          <w:szCs w:val="24"/>
        </w:rPr>
        <w:lastRenderedPageBreak/>
        <w:t>D</w:t>
      </w:r>
      <w:r w:rsidR="00D60EE7" w:rsidRPr="007E56DA">
        <w:rPr>
          <w:rFonts w:ascii="Times New Roman" w:hAnsi="Times New Roman" w:cs="Times New Roman"/>
          <w:color w:val="auto"/>
          <w:sz w:val="24"/>
          <w:szCs w:val="24"/>
        </w:rPr>
        <w:t>EL</w:t>
      </w:r>
      <w:r w:rsidRPr="007E56DA">
        <w:rPr>
          <w:rFonts w:ascii="Times New Roman" w:hAnsi="Times New Roman" w:cs="Times New Roman"/>
          <w:color w:val="auto"/>
          <w:sz w:val="24"/>
          <w:szCs w:val="24"/>
        </w:rPr>
        <w:t xml:space="preserve"> Á</w:t>
      </w:r>
      <w:r w:rsidR="00D60EE7" w:rsidRPr="007E56DA">
        <w:rPr>
          <w:rFonts w:ascii="Times New Roman" w:hAnsi="Times New Roman" w:cs="Times New Roman"/>
          <w:color w:val="auto"/>
          <w:sz w:val="24"/>
          <w:szCs w:val="24"/>
        </w:rPr>
        <w:t>GUILAy</w:t>
      </w:r>
      <w:r w:rsidRPr="007E56DA">
        <w:rPr>
          <w:rFonts w:ascii="Times New Roman" w:hAnsi="Times New Roman" w:cs="Times New Roman"/>
          <w:color w:val="auto"/>
          <w:sz w:val="24"/>
          <w:szCs w:val="24"/>
        </w:rPr>
        <w:t xml:space="preserve"> V</w:t>
      </w:r>
      <w:r w:rsidR="00D60EE7" w:rsidRPr="007E56DA">
        <w:rPr>
          <w:rFonts w:ascii="Times New Roman" w:hAnsi="Times New Roman" w:cs="Times New Roman"/>
          <w:color w:val="auto"/>
          <w:sz w:val="24"/>
          <w:szCs w:val="24"/>
        </w:rPr>
        <w:t>ALLESPÍN</w:t>
      </w:r>
      <w:r w:rsidRPr="007E56DA">
        <w:rPr>
          <w:rFonts w:ascii="Times New Roman" w:hAnsi="Times New Roman" w:cs="Times New Roman"/>
          <w:color w:val="auto"/>
          <w:sz w:val="24"/>
          <w:szCs w:val="24"/>
        </w:rPr>
        <w:t xml:space="preserve"> (2003) La democracia en sus textos, Alianza, Madrid. </w:t>
      </w:r>
    </w:p>
    <w:p w:rsidR="005E4D63" w:rsidRPr="007E56DA" w:rsidRDefault="005E4D63"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DIEZ RODRÍGUEZ, Ángeles (2002). Las</w:t>
      </w:r>
      <w:r w:rsidRPr="007E56DA">
        <w:rPr>
          <w:rFonts w:ascii="Times New Roman" w:eastAsia="Times New Roman" w:hAnsi="Times New Roman" w:cs="Times New Roman"/>
          <w:i/>
          <w:color w:val="auto"/>
          <w:sz w:val="24"/>
          <w:szCs w:val="24"/>
        </w:rPr>
        <w:t xml:space="preserve"> ONG como campos de relaciones sociales. </w:t>
      </w:r>
      <w:r w:rsidRPr="007E56DA">
        <w:rPr>
          <w:rFonts w:ascii="Times New Roman" w:eastAsia="Times New Roman" w:hAnsi="Times New Roman" w:cs="Times New Roman"/>
          <w:color w:val="auto"/>
          <w:sz w:val="24"/>
          <w:szCs w:val="24"/>
        </w:rPr>
        <w:t xml:space="preserve">En Revilla Blanco, M. (2002) </w:t>
      </w:r>
      <w:r w:rsidRPr="007E56DA">
        <w:rPr>
          <w:rFonts w:ascii="Times New Roman" w:eastAsia="Times New Roman" w:hAnsi="Times New Roman" w:cs="Times New Roman"/>
          <w:i/>
          <w:color w:val="auto"/>
          <w:sz w:val="24"/>
          <w:szCs w:val="24"/>
        </w:rPr>
        <w:t>Las ONG y la política</w:t>
      </w:r>
      <w:r w:rsidRPr="007E56DA">
        <w:rPr>
          <w:rFonts w:ascii="Times New Roman" w:eastAsia="Times New Roman" w:hAnsi="Times New Roman" w:cs="Times New Roman"/>
          <w:color w:val="auto"/>
          <w:sz w:val="24"/>
          <w:szCs w:val="24"/>
        </w:rPr>
        <w:t>. Madrid: Edit. Istmo.</w:t>
      </w:r>
    </w:p>
    <w:p w:rsidR="001B34E9" w:rsidRPr="007E56DA" w:rsidRDefault="002A353D" w:rsidP="00EE5503">
      <w:pPr>
        <w:spacing w:after="0" w:line="360" w:lineRule="auto"/>
        <w:ind w:left="181" w:hanging="181"/>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FREEDMAN</w:t>
      </w:r>
      <w:r w:rsidR="001B34E9" w:rsidRPr="007E56DA">
        <w:rPr>
          <w:rFonts w:ascii="Times New Roman" w:hAnsi="Times New Roman" w:cs="Times New Roman"/>
          <w:color w:val="auto"/>
          <w:sz w:val="24"/>
          <w:szCs w:val="24"/>
        </w:rPr>
        <w:t xml:space="preserve">, D. (2008). </w:t>
      </w:r>
      <w:r w:rsidR="001B34E9" w:rsidRPr="007E56DA">
        <w:rPr>
          <w:rFonts w:ascii="Times New Roman" w:hAnsi="Times New Roman" w:cs="Times New Roman"/>
          <w:i/>
          <w:iCs/>
          <w:color w:val="auto"/>
          <w:sz w:val="24"/>
          <w:szCs w:val="24"/>
        </w:rPr>
        <w:t xml:space="preserve">The Politics of Media Policy. </w:t>
      </w:r>
      <w:r w:rsidR="001B34E9" w:rsidRPr="007E56DA">
        <w:rPr>
          <w:rFonts w:ascii="Times New Roman" w:hAnsi="Times New Roman" w:cs="Times New Roman"/>
          <w:color w:val="auto"/>
          <w:sz w:val="24"/>
          <w:szCs w:val="24"/>
        </w:rPr>
        <w:t xml:space="preserve">Cambridge: Polity Press. </w:t>
      </w:r>
    </w:p>
    <w:p w:rsidR="002539A0" w:rsidRPr="007E56DA" w:rsidRDefault="00D60EE7" w:rsidP="00EE5503">
      <w:pPr>
        <w:spacing w:after="0" w:line="360" w:lineRule="auto"/>
        <w:ind w:left="181" w:hanging="181"/>
        <w:jc w:val="both"/>
        <w:rPr>
          <w:rFonts w:ascii="Times New Roman" w:hAnsi="Times New Roman" w:cs="Times New Roman"/>
          <w:color w:val="auto"/>
          <w:sz w:val="24"/>
          <w:szCs w:val="24"/>
          <w:lang w:val="pt-BR"/>
        </w:rPr>
      </w:pPr>
      <w:r w:rsidRPr="007E56DA">
        <w:rPr>
          <w:rFonts w:ascii="Times New Roman" w:hAnsi="Times New Roman" w:cs="Times New Roman"/>
          <w:color w:val="auto"/>
          <w:sz w:val="24"/>
          <w:szCs w:val="24"/>
          <w:lang w:val="pt-BR"/>
        </w:rPr>
        <w:t>GOHN</w:t>
      </w:r>
      <w:r w:rsidR="002539A0" w:rsidRPr="007E56DA">
        <w:rPr>
          <w:rFonts w:ascii="Times New Roman" w:hAnsi="Times New Roman" w:cs="Times New Roman"/>
          <w:color w:val="auto"/>
          <w:sz w:val="24"/>
          <w:szCs w:val="24"/>
          <w:lang w:val="pt-BR"/>
        </w:rPr>
        <w:t xml:space="preserve">, M. (2004) “Empoderamento e participação da comunidade em políticas sociais”, en: </w:t>
      </w:r>
      <w:r w:rsidR="002539A0" w:rsidRPr="007E56DA">
        <w:rPr>
          <w:rFonts w:ascii="Times New Roman" w:hAnsi="Times New Roman" w:cs="Times New Roman"/>
          <w:i/>
          <w:color w:val="auto"/>
          <w:sz w:val="24"/>
          <w:szCs w:val="24"/>
          <w:lang w:val="pt-BR"/>
        </w:rPr>
        <w:t>Saúde e Sociedade,</w:t>
      </w:r>
      <w:r w:rsidR="002539A0" w:rsidRPr="007E56DA">
        <w:rPr>
          <w:rFonts w:ascii="Times New Roman" w:hAnsi="Times New Roman" w:cs="Times New Roman"/>
          <w:color w:val="auto"/>
          <w:sz w:val="24"/>
          <w:szCs w:val="24"/>
          <w:lang w:val="pt-BR"/>
        </w:rPr>
        <w:t xml:space="preserve"> v.13, N</w:t>
      </w:r>
      <w:r w:rsidR="002539A0" w:rsidRPr="007E56DA">
        <w:rPr>
          <w:rFonts w:ascii="Times New Roman" w:hAnsi="Times New Roman" w:cs="Times New Roman"/>
          <w:color w:val="auto"/>
          <w:sz w:val="24"/>
          <w:szCs w:val="24"/>
          <w:vertAlign w:val="superscript"/>
          <w:lang w:val="pt-BR"/>
        </w:rPr>
        <w:t>o</w:t>
      </w:r>
      <w:r w:rsidR="002539A0" w:rsidRPr="007E56DA">
        <w:rPr>
          <w:rFonts w:ascii="Times New Roman" w:hAnsi="Times New Roman" w:cs="Times New Roman"/>
          <w:color w:val="auto"/>
          <w:sz w:val="24"/>
          <w:szCs w:val="24"/>
          <w:lang w:val="pt-BR"/>
        </w:rPr>
        <w:t>2, pp. 20-31.</w:t>
      </w:r>
    </w:p>
    <w:p w:rsidR="004D68E5" w:rsidRPr="007E56DA" w:rsidRDefault="004D68E5" w:rsidP="00EE5503">
      <w:pPr>
        <w:spacing w:after="0" w:line="360" w:lineRule="auto"/>
        <w:ind w:left="181" w:hanging="181"/>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I</w:t>
      </w:r>
      <w:r w:rsidR="00D60EE7" w:rsidRPr="007E56DA">
        <w:rPr>
          <w:rFonts w:ascii="Times New Roman" w:hAnsi="Times New Roman" w:cs="Times New Roman"/>
          <w:color w:val="auto"/>
          <w:sz w:val="24"/>
          <w:szCs w:val="24"/>
        </w:rPr>
        <w:t>AZZETTA</w:t>
      </w:r>
      <w:r w:rsidRPr="007E56DA">
        <w:rPr>
          <w:rFonts w:ascii="Times New Roman" w:hAnsi="Times New Roman" w:cs="Times New Roman"/>
          <w:color w:val="auto"/>
          <w:sz w:val="24"/>
          <w:szCs w:val="24"/>
        </w:rPr>
        <w:t>, O. (2005) “</w:t>
      </w:r>
      <w:r w:rsidRPr="007E56DA">
        <w:rPr>
          <w:rFonts w:ascii="Times New Roman" w:hAnsi="Times New Roman" w:cs="Times New Roman"/>
          <w:i/>
          <w:color w:val="auto"/>
          <w:sz w:val="24"/>
          <w:szCs w:val="24"/>
        </w:rPr>
        <w:t>Estado y democracia: repensando un vínculo necesario</w:t>
      </w:r>
      <w:r w:rsidRPr="007E56DA">
        <w:rPr>
          <w:rFonts w:ascii="Times New Roman" w:hAnsi="Times New Roman" w:cs="Times New Roman"/>
          <w:color w:val="auto"/>
          <w:sz w:val="24"/>
          <w:szCs w:val="24"/>
        </w:rPr>
        <w:t xml:space="preserve">”, en: </w:t>
      </w:r>
      <w:r w:rsidRPr="007E56DA">
        <w:rPr>
          <w:rFonts w:ascii="Times New Roman" w:hAnsi="Times New Roman" w:cs="Times New Roman"/>
          <w:i/>
          <w:color w:val="auto"/>
          <w:sz w:val="24"/>
          <w:szCs w:val="24"/>
        </w:rPr>
        <w:t>Estado y política en la Argentina actual</w:t>
      </w:r>
      <w:r w:rsidRPr="007E56DA">
        <w:rPr>
          <w:rFonts w:ascii="Times New Roman" w:hAnsi="Times New Roman" w:cs="Times New Roman"/>
          <w:color w:val="auto"/>
          <w:sz w:val="24"/>
          <w:szCs w:val="24"/>
        </w:rPr>
        <w:t>, Bs. Aires: Prometeo.</w:t>
      </w:r>
    </w:p>
    <w:p w:rsidR="00260C46" w:rsidRPr="007E56DA" w:rsidRDefault="00260C46" w:rsidP="00EE5503">
      <w:pPr>
        <w:spacing w:after="0" w:line="360" w:lineRule="auto"/>
        <w:contextualSpacing/>
        <w:rPr>
          <w:rFonts w:ascii="Times New Roman" w:hAnsi="Times New Roman" w:cs="Times New Roman"/>
          <w:color w:val="auto"/>
          <w:sz w:val="24"/>
          <w:szCs w:val="24"/>
        </w:rPr>
      </w:pPr>
      <w:r w:rsidRPr="007E56DA">
        <w:rPr>
          <w:rFonts w:ascii="Times New Roman" w:hAnsi="Times New Roman" w:cs="Times New Roman"/>
          <w:color w:val="auto"/>
          <w:sz w:val="24"/>
          <w:szCs w:val="24"/>
        </w:rPr>
        <w:t>LAGOS, M</w:t>
      </w:r>
      <w:r w:rsidR="00E90835" w:rsidRPr="007E56DA">
        <w:rPr>
          <w:rFonts w:ascii="Times New Roman" w:hAnsi="Times New Roman" w:cs="Times New Roman"/>
          <w:color w:val="auto"/>
          <w:sz w:val="24"/>
          <w:szCs w:val="24"/>
        </w:rPr>
        <w:t>arta</w:t>
      </w:r>
      <w:r w:rsidRPr="007E56DA">
        <w:rPr>
          <w:rFonts w:ascii="Times New Roman" w:hAnsi="Times New Roman" w:cs="Times New Roman"/>
          <w:color w:val="auto"/>
          <w:sz w:val="24"/>
          <w:szCs w:val="24"/>
        </w:rPr>
        <w:t xml:space="preserve">. (2012). </w:t>
      </w:r>
      <w:r w:rsidRPr="007E56DA">
        <w:rPr>
          <w:rFonts w:ascii="Times New Roman" w:hAnsi="Times New Roman" w:cs="Times New Roman"/>
          <w:i/>
          <w:color w:val="auto"/>
          <w:sz w:val="24"/>
          <w:szCs w:val="24"/>
        </w:rPr>
        <w:t>La Seguridad Ciudadana</w:t>
      </w:r>
      <w:r w:rsidR="00290EB0" w:rsidRPr="007E56DA">
        <w:rPr>
          <w:rFonts w:ascii="Times New Roman" w:hAnsi="Times New Roman" w:cs="Times New Roman"/>
          <w:i/>
          <w:color w:val="auto"/>
          <w:sz w:val="24"/>
          <w:szCs w:val="24"/>
        </w:rPr>
        <w:t>.</w:t>
      </w:r>
      <w:r w:rsidRPr="007E56DA">
        <w:rPr>
          <w:rFonts w:ascii="Times New Roman" w:hAnsi="Times New Roman" w:cs="Times New Roman"/>
          <w:i/>
          <w:color w:val="auto"/>
          <w:sz w:val="24"/>
          <w:szCs w:val="24"/>
        </w:rPr>
        <w:t xml:space="preserve"> El problema princi</w:t>
      </w:r>
      <w:r w:rsidR="00E90835" w:rsidRPr="007E56DA">
        <w:rPr>
          <w:rFonts w:ascii="Times New Roman" w:hAnsi="Times New Roman" w:cs="Times New Roman"/>
          <w:i/>
          <w:color w:val="auto"/>
          <w:sz w:val="24"/>
          <w:szCs w:val="24"/>
        </w:rPr>
        <w:t>pal de América Latina Latinobaró</w:t>
      </w:r>
      <w:r w:rsidRPr="007E56DA">
        <w:rPr>
          <w:rFonts w:ascii="Times New Roman" w:hAnsi="Times New Roman" w:cs="Times New Roman"/>
          <w:i/>
          <w:color w:val="auto"/>
          <w:sz w:val="24"/>
          <w:szCs w:val="24"/>
        </w:rPr>
        <w:t xml:space="preserve">metro. </w:t>
      </w:r>
      <w:r w:rsidRPr="007E56DA">
        <w:rPr>
          <w:rFonts w:ascii="Times New Roman" w:hAnsi="Times New Roman" w:cs="Times New Roman"/>
          <w:color w:val="auto"/>
          <w:sz w:val="24"/>
          <w:szCs w:val="24"/>
        </w:rPr>
        <w:t xml:space="preserve">Recuperado en </w:t>
      </w:r>
      <w:hyperlink r:id="rId10" w:history="1">
        <w:r w:rsidR="00523A49" w:rsidRPr="007E56DA">
          <w:rPr>
            <w:rStyle w:val="Hipervnculo"/>
            <w:rFonts w:ascii="Times New Roman" w:hAnsi="Times New Roman" w:cs="Times New Roman"/>
            <w:color w:val="auto"/>
            <w:sz w:val="24"/>
            <w:szCs w:val="24"/>
          </w:rPr>
          <w:t>http://www.latinobarometro.org/documentos/LATBD_La_seguridad_ciudadana.pdf</w:t>
        </w:r>
      </w:hyperlink>
    </w:p>
    <w:p w:rsidR="00260C46" w:rsidRPr="007E56DA" w:rsidRDefault="00260C46" w:rsidP="00EE5503">
      <w:pPr>
        <w:pStyle w:val="Normal10"/>
        <w:spacing w:after="0" w:line="360" w:lineRule="auto"/>
        <w:ind w:left="284" w:hanging="360"/>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LEIRAS, Marcelo (2007). </w:t>
      </w:r>
      <w:r w:rsidRPr="007E56DA">
        <w:rPr>
          <w:rFonts w:ascii="Times New Roman" w:eastAsia="Times New Roman" w:hAnsi="Times New Roman" w:cs="Times New Roman"/>
          <w:i/>
          <w:color w:val="auto"/>
          <w:sz w:val="24"/>
          <w:szCs w:val="24"/>
        </w:rPr>
        <w:t>La incidencia de las organizaciones de la sociedad civil en políticas públicas.</w:t>
      </w:r>
      <w:r w:rsidRPr="007E56DA">
        <w:rPr>
          <w:rFonts w:ascii="Times New Roman" w:eastAsia="Times New Roman" w:hAnsi="Times New Roman" w:cs="Times New Roman"/>
          <w:color w:val="auto"/>
          <w:sz w:val="24"/>
          <w:szCs w:val="24"/>
        </w:rPr>
        <w:t xml:space="preserve"> En Acuña, C.H. y Vacchieri, A. (2007).  </w:t>
      </w:r>
      <w:r w:rsidRPr="007E56DA">
        <w:rPr>
          <w:rFonts w:ascii="Times New Roman" w:eastAsia="Times New Roman" w:hAnsi="Times New Roman" w:cs="Times New Roman"/>
          <w:i/>
          <w:color w:val="auto"/>
          <w:sz w:val="24"/>
          <w:szCs w:val="24"/>
        </w:rPr>
        <w:t xml:space="preserve">La incidencia política de la sociedad civil. </w:t>
      </w:r>
      <w:r w:rsidRPr="007E56DA">
        <w:rPr>
          <w:rFonts w:ascii="Times New Roman" w:eastAsia="Times New Roman" w:hAnsi="Times New Roman" w:cs="Times New Roman"/>
          <w:color w:val="auto"/>
          <w:sz w:val="24"/>
          <w:szCs w:val="24"/>
        </w:rPr>
        <w:t>Buenos Aires: Edit. Siglo XXI.</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MAINGUENEAU, Dominique (1980) </w:t>
      </w:r>
      <w:r w:rsidRPr="007E56DA">
        <w:rPr>
          <w:rFonts w:ascii="Times New Roman" w:hAnsi="Times New Roman" w:cs="Times New Roman"/>
          <w:i/>
          <w:color w:val="auto"/>
          <w:sz w:val="24"/>
          <w:szCs w:val="24"/>
        </w:rPr>
        <w:t xml:space="preserve">Introducción a los métodos de análisis del discurso: problemas y perspectivas. </w:t>
      </w:r>
      <w:r w:rsidRPr="007E56DA">
        <w:rPr>
          <w:rFonts w:ascii="Times New Roman" w:hAnsi="Times New Roman" w:cs="Times New Roman"/>
          <w:color w:val="auto"/>
          <w:sz w:val="24"/>
          <w:szCs w:val="24"/>
        </w:rPr>
        <w:t>Buenos Aires, Hachette.</w:t>
      </w:r>
    </w:p>
    <w:p w:rsidR="002539A0" w:rsidRPr="007E56DA" w:rsidRDefault="002539A0" w:rsidP="00EE5503">
      <w:pPr>
        <w:spacing w:after="0" w:line="360" w:lineRule="auto"/>
        <w:ind w:left="181" w:hanging="181"/>
        <w:jc w:val="both"/>
        <w:rPr>
          <w:rFonts w:ascii="Times New Roman" w:hAnsi="Times New Roman" w:cs="Times New Roman"/>
          <w:color w:val="auto"/>
          <w:sz w:val="24"/>
          <w:szCs w:val="24"/>
        </w:rPr>
      </w:pPr>
      <w:r w:rsidRPr="007E56DA">
        <w:rPr>
          <w:rFonts w:ascii="Times New Roman" w:hAnsi="Times New Roman" w:cs="Times New Roman"/>
          <w:color w:val="auto"/>
          <w:sz w:val="24"/>
          <w:szCs w:val="24"/>
        </w:rPr>
        <w:t>M</w:t>
      </w:r>
      <w:r w:rsidR="00DF6978" w:rsidRPr="007E56DA">
        <w:rPr>
          <w:rFonts w:ascii="Times New Roman" w:hAnsi="Times New Roman" w:cs="Times New Roman"/>
          <w:color w:val="auto"/>
          <w:sz w:val="24"/>
          <w:szCs w:val="24"/>
        </w:rPr>
        <w:t xml:space="preserve">ARGULIS, </w:t>
      </w:r>
      <w:r w:rsidRPr="007E56DA">
        <w:rPr>
          <w:rFonts w:ascii="Times New Roman" w:hAnsi="Times New Roman" w:cs="Times New Roman"/>
          <w:color w:val="auto"/>
          <w:sz w:val="24"/>
          <w:szCs w:val="24"/>
        </w:rPr>
        <w:t xml:space="preserve">M. y otros (2014) </w:t>
      </w:r>
      <w:r w:rsidRPr="007E56DA">
        <w:rPr>
          <w:rFonts w:ascii="Times New Roman" w:hAnsi="Times New Roman" w:cs="Times New Roman"/>
          <w:i/>
          <w:color w:val="auto"/>
          <w:sz w:val="24"/>
          <w:szCs w:val="24"/>
        </w:rPr>
        <w:t xml:space="preserve">Intervenir en la Cultura, </w:t>
      </w:r>
      <w:r w:rsidRPr="007E56DA">
        <w:rPr>
          <w:rFonts w:ascii="Times New Roman" w:hAnsi="Times New Roman" w:cs="Times New Roman"/>
          <w:color w:val="auto"/>
          <w:sz w:val="24"/>
          <w:szCs w:val="24"/>
        </w:rPr>
        <w:t>Biblos</w:t>
      </w:r>
      <w:r w:rsidRPr="007E56DA">
        <w:rPr>
          <w:rFonts w:ascii="Times New Roman" w:hAnsi="Times New Roman" w:cs="Times New Roman"/>
          <w:i/>
          <w:color w:val="auto"/>
          <w:sz w:val="24"/>
          <w:szCs w:val="24"/>
        </w:rPr>
        <w:t xml:space="preserve">, </w:t>
      </w:r>
      <w:r w:rsidRPr="007E56DA">
        <w:rPr>
          <w:rFonts w:ascii="Times New Roman" w:hAnsi="Times New Roman" w:cs="Times New Roman"/>
          <w:color w:val="auto"/>
          <w:sz w:val="24"/>
          <w:szCs w:val="24"/>
        </w:rPr>
        <w:t>Buenos Aires</w:t>
      </w:r>
      <w:r w:rsidRPr="007E56DA">
        <w:rPr>
          <w:rFonts w:ascii="Times New Roman" w:hAnsi="Times New Roman" w:cs="Times New Roman"/>
          <w:i/>
          <w:color w:val="auto"/>
          <w:sz w:val="24"/>
          <w:szCs w:val="24"/>
        </w:rPr>
        <w:t>.</w:t>
      </w:r>
    </w:p>
    <w:p w:rsidR="000428A8" w:rsidRPr="007E56DA" w:rsidRDefault="000428A8" w:rsidP="00EE5503">
      <w:pPr>
        <w:spacing w:after="0" w:line="360" w:lineRule="auto"/>
        <w:ind w:left="181" w:hanging="181"/>
        <w:jc w:val="both"/>
        <w:rPr>
          <w:rFonts w:ascii="Times New Roman" w:hAnsi="Times New Roman" w:cs="Times New Roman"/>
          <w:color w:val="auto"/>
          <w:sz w:val="24"/>
          <w:szCs w:val="24"/>
        </w:rPr>
      </w:pPr>
      <w:r w:rsidRPr="007E56DA">
        <w:rPr>
          <w:rFonts w:ascii="Times New Roman" w:hAnsi="Times New Roman" w:cs="Times New Roman"/>
          <w:noProof/>
          <w:color w:val="auto"/>
          <w:sz w:val="24"/>
          <w:szCs w:val="24"/>
        </w:rPr>
        <w:t>M</w:t>
      </w:r>
      <w:r w:rsidR="00DF6978" w:rsidRPr="007E56DA">
        <w:rPr>
          <w:rFonts w:ascii="Times New Roman" w:hAnsi="Times New Roman" w:cs="Times New Roman"/>
          <w:noProof/>
          <w:color w:val="auto"/>
          <w:sz w:val="24"/>
          <w:szCs w:val="24"/>
        </w:rPr>
        <w:t>EIKSINS</w:t>
      </w:r>
      <w:r w:rsidRPr="007E56DA">
        <w:rPr>
          <w:rFonts w:ascii="Times New Roman" w:hAnsi="Times New Roman" w:cs="Times New Roman"/>
          <w:noProof/>
          <w:color w:val="auto"/>
          <w:sz w:val="24"/>
          <w:szCs w:val="24"/>
        </w:rPr>
        <w:t xml:space="preserve"> W</w:t>
      </w:r>
      <w:r w:rsidR="00DF6978" w:rsidRPr="007E56DA">
        <w:rPr>
          <w:rFonts w:ascii="Times New Roman" w:hAnsi="Times New Roman" w:cs="Times New Roman"/>
          <w:noProof/>
          <w:color w:val="auto"/>
          <w:sz w:val="24"/>
          <w:szCs w:val="24"/>
        </w:rPr>
        <w:t>OOD</w:t>
      </w:r>
      <w:r w:rsidRPr="007E56DA">
        <w:rPr>
          <w:rFonts w:ascii="Times New Roman" w:hAnsi="Times New Roman" w:cs="Times New Roman"/>
          <w:noProof/>
          <w:color w:val="auto"/>
          <w:sz w:val="24"/>
          <w:szCs w:val="24"/>
        </w:rPr>
        <w:t xml:space="preserve">, E. (2000) “Sociedad civil y la política de la identidad”, en: Meiksins Wood, E. </w:t>
      </w:r>
      <w:r w:rsidRPr="007E56DA">
        <w:rPr>
          <w:rFonts w:ascii="Times New Roman" w:hAnsi="Times New Roman" w:cs="Times New Roman"/>
          <w:i/>
          <w:iCs/>
          <w:noProof/>
          <w:color w:val="auto"/>
          <w:sz w:val="24"/>
          <w:szCs w:val="24"/>
        </w:rPr>
        <w:t>Democracia contra capitalismo. La renovación del materialismo histórico,</w:t>
      </w:r>
      <w:r w:rsidRPr="007E56DA">
        <w:rPr>
          <w:rFonts w:ascii="Times New Roman" w:hAnsi="Times New Roman" w:cs="Times New Roman"/>
          <w:noProof/>
          <w:color w:val="auto"/>
          <w:sz w:val="24"/>
          <w:szCs w:val="24"/>
        </w:rPr>
        <w:t xml:space="preserve"> Siglo XXI, México, </w:t>
      </w:r>
      <w:r w:rsidR="00DF6978" w:rsidRPr="007E56DA">
        <w:rPr>
          <w:rFonts w:ascii="Times New Roman" w:hAnsi="Times New Roman" w:cs="Times New Roman"/>
          <w:noProof/>
          <w:color w:val="auto"/>
          <w:sz w:val="24"/>
          <w:szCs w:val="24"/>
        </w:rPr>
        <w:t>(</w:t>
      </w:r>
      <w:r w:rsidRPr="007E56DA">
        <w:rPr>
          <w:rFonts w:ascii="Times New Roman" w:hAnsi="Times New Roman" w:cs="Times New Roman"/>
          <w:noProof/>
          <w:color w:val="auto"/>
          <w:sz w:val="24"/>
          <w:szCs w:val="24"/>
        </w:rPr>
        <w:t>págs. 277-305</w:t>
      </w:r>
      <w:r w:rsidR="00DF6978" w:rsidRPr="007E56DA">
        <w:rPr>
          <w:rFonts w:ascii="Times New Roman" w:hAnsi="Times New Roman" w:cs="Times New Roman"/>
          <w:noProof/>
          <w:color w:val="auto"/>
          <w:sz w:val="24"/>
          <w:szCs w:val="24"/>
        </w:rPr>
        <w:t>)</w:t>
      </w:r>
      <w:r w:rsidRPr="007E56DA">
        <w:rPr>
          <w:rFonts w:ascii="Times New Roman" w:hAnsi="Times New Roman" w:cs="Times New Roman"/>
          <w:noProof/>
          <w:color w:val="auto"/>
          <w:sz w:val="24"/>
          <w:szCs w:val="24"/>
        </w:rPr>
        <w:t>.</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MOZEJKO, Teresa &amp; COSTA, R</w:t>
      </w:r>
      <w:r w:rsidR="00E90835" w:rsidRPr="007E56DA">
        <w:rPr>
          <w:rFonts w:ascii="Times New Roman" w:eastAsia="Times New Roman" w:hAnsi="Times New Roman" w:cs="Times New Roman"/>
          <w:color w:val="auto"/>
          <w:sz w:val="24"/>
          <w:szCs w:val="24"/>
        </w:rPr>
        <w:t>icardo</w:t>
      </w:r>
      <w:r w:rsidRPr="007E56DA">
        <w:rPr>
          <w:rFonts w:ascii="Times New Roman" w:eastAsia="Times New Roman" w:hAnsi="Times New Roman" w:cs="Times New Roman"/>
          <w:color w:val="auto"/>
          <w:sz w:val="24"/>
          <w:szCs w:val="24"/>
        </w:rPr>
        <w:t xml:space="preserve">. (2002). </w:t>
      </w:r>
      <w:r w:rsidRPr="007E56DA">
        <w:rPr>
          <w:rFonts w:ascii="Times New Roman" w:eastAsia="Times New Roman" w:hAnsi="Times New Roman" w:cs="Times New Roman"/>
          <w:i/>
          <w:color w:val="auto"/>
          <w:sz w:val="24"/>
          <w:szCs w:val="24"/>
        </w:rPr>
        <w:t xml:space="preserve">Lugares del decir: Competencia social y estrategias discursivas. </w:t>
      </w:r>
      <w:r w:rsidRPr="007E56DA">
        <w:rPr>
          <w:rFonts w:ascii="Times New Roman" w:eastAsia="Times New Roman" w:hAnsi="Times New Roman" w:cs="Times New Roman"/>
          <w:color w:val="auto"/>
          <w:sz w:val="24"/>
          <w:szCs w:val="24"/>
        </w:rPr>
        <w:t>Rosario, Santa Fe, Argentina: Homo Sapiens.</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MOZEJKO, Teresa. (2013). </w:t>
      </w:r>
      <w:r w:rsidRPr="007E56DA">
        <w:rPr>
          <w:rFonts w:ascii="Times New Roman" w:eastAsia="Times New Roman" w:hAnsi="Times New Roman" w:cs="Times New Roman"/>
          <w:i/>
          <w:color w:val="auto"/>
          <w:sz w:val="24"/>
          <w:szCs w:val="24"/>
        </w:rPr>
        <w:t>La producción de pasiones en el enunciatario: A propósito de "No se culpe a nadie" (1956) de Julio Cortázar.Anclajes</w:t>
      </w:r>
      <w:r w:rsidRPr="007E56DA">
        <w:rPr>
          <w:rFonts w:ascii="Times New Roman" w:eastAsia="Times New Roman" w:hAnsi="Times New Roman" w:cs="Times New Roman"/>
          <w:color w:val="auto"/>
          <w:sz w:val="24"/>
          <w:szCs w:val="24"/>
        </w:rPr>
        <w:t xml:space="preserve">, </w:t>
      </w:r>
      <w:r w:rsidRPr="007E56DA">
        <w:rPr>
          <w:rFonts w:ascii="Times New Roman" w:eastAsia="Times New Roman" w:hAnsi="Times New Roman" w:cs="Times New Roman"/>
          <w:i/>
          <w:color w:val="auto"/>
          <w:sz w:val="24"/>
          <w:szCs w:val="24"/>
        </w:rPr>
        <w:t>17</w:t>
      </w:r>
      <w:r w:rsidRPr="007E56DA">
        <w:rPr>
          <w:rFonts w:ascii="Times New Roman" w:eastAsia="Times New Roman" w:hAnsi="Times New Roman" w:cs="Times New Roman"/>
          <w:color w:val="auto"/>
          <w:sz w:val="24"/>
          <w:szCs w:val="24"/>
        </w:rPr>
        <w:t xml:space="preserve">(2), 107-123. Recuperado en 10 de mayo de 2016, de </w:t>
      </w:r>
      <w:hyperlink r:id="rId11"/>
      <w:hyperlink r:id="rId12" w:history="1">
        <w:r w:rsidR="00523A49" w:rsidRPr="007E56DA">
          <w:rPr>
            <w:rStyle w:val="Hipervnculo"/>
            <w:rFonts w:ascii="Times New Roman" w:eastAsia="Times New Roman" w:hAnsi="Times New Roman" w:cs="Times New Roman"/>
            <w:color w:val="auto"/>
            <w:sz w:val="24"/>
            <w:szCs w:val="24"/>
          </w:rPr>
          <w:t>http://www.scielo.org.ar/scielo.php?script=sci_arttext&amp;pid=S1851-46692013000200004&amp;lng=es&amp;tlng</w:t>
        </w:r>
      </w:hyperlink>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ORCEL, Mathieu (2015). </w:t>
      </w:r>
      <w:r w:rsidRPr="007E56DA">
        <w:rPr>
          <w:rFonts w:ascii="Times New Roman" w:eastAsia="Times New Roman" w:hAnsi="Times New Roman" w:cs="Times New Roman"/>
          <w:i/>
          <w:color w:val="auto"/>
          <w:sz w:val="24"/>
          <w:szCs w:val="24"/>
        </w:rPr>
        <w:t>Cuerpo a Cuerpo. El caso Marita Verón.</w:t>
      </w:r>
      <w:r w:rsidRPr="007E56DA">
        <w:rPr>
          <w:rFonts w:ascii="Times New Roman" w:eastAsia="Times New Roman" w:hAnsi="Times New Roman" w:cs="Times New Roman"/>
          <w:color w:val="auto"/>
          <w:sz w:val="24"/>
          <w:szCs w:val="24"/>
        </w:rPr>
        <w:t xml:space="preserve">Canal Encuentro. KÔN SUD Productions, La CuisineAuxImages e Y.N. Productions y el Instituto Nacional de Cine y Artes Audiovisuales (INCAA), para el canal francés Planète + CI y Ministerio de Educación de la Nación. Video. Recuperado de </w:t>
      </w:r>
      <w:hyperlink r:id="rId13"/>
      <w:hyperlink r:id="rId14" w:history="1">
        <w:r w:rsidR="00523A49" w:rsidRPr="007E56DA">
          <w:rPr>
            <w:rStyle w:val="Hipervnculo"/>
            <w:rFonts w:ascii="Times New Roman" w:eastAsia="Times New Roman" w:hAnsi="Times New Roman" w:cs="Times New Roman"/>
            <w:color w:val="auto"/>
            <w:sz w:val="24"/>
            <w:szCs w:val="24"/>
          </w:rPr>
          <w:t>http://www.encuentro.gob.ar/sitios/encuentro/programas/ver?rec_id=128895</w:t>
        </w:r>
      </w:hyperlink>
    </w:p>
    <w:p w:rsidR="00260C46" w:rsidRPr="007E56DA" w:rsidRDefault="00260C46" w:rsidP="00EE5503">
      <w:pPr>
        <w:pStyle w:val="Normal10"/>
        <w:spacing w:after="0" w:line="360" w:lineRule="auto"/>
        <w:ind w:left="284" w:hanging="360"/>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REVILLA BLANCO, Marisa (2002). </w:t>
      </w:r>
      <w:r w:rsidRPr="007E56DA">
        <w:rPr>
          <w:rFonts w:ascii="Times New Roman" w:eastAsia="Times New Roman" w:hAnsi="Times New Roman" w:cs="Times New Roman"/>
          <w:i/>
          <w:color w:val="auto"/>
          <w:sz w:val="24"/>
          <w:szCs w:val="24"/>
        </w:rPr>
        <w:t>Las ONG y la política</w:t>
      </w:r>
      <w:r w:rsidRPr="007E56DA">
        <w:rPr>
          <w:rFonts w:ascii="Times New Roman" w:eastAsia="Times New Roman" w:hAnsi="Times New Roman" w:cs="Times New Roman"/>
          <w:color w:val="auto"/>
          <w:sz w:val="24"/>
          <w:szCs w:val="24"/>
        </w:rPr>
        <w:t>. Madrid: Edit. Istmo.</w:t>
      </w:r>
    </w:p>
    <w:p w:rsidR="00CE2E92" w:rsidRPr="007E56DA" w:rsidRDefault="00CE2E92" w:rsidP="00CE2E92">
      <w:pPr>
        <w:pStyle w:val="Normal10"/>
        <w:spacing w:after="0" w:line="360" w:lineRule="auto"/>
        <w:ind w:left="284" w:hanging="360"/>
        <w:contextualSpacing/>
        <w:rPr>
          <w:rFonts w:ascii="Times New Roman" w:eastAsia="Arial" w:hAnsi="Times New Roman" w:cs="Times New Roman"/>
          <w:color w:val="auto"/>
          <w:sz w:val="24"/>
          <w:szCs w:val="24"/>
        </w:rPr>
      </w:pPr>
      <w:r w:rsidRPr="007E56DA">
        <w:rPr>
          <w:rFonts w:ascii="Times New Roman" w:hAnsi="Times New Roman" w:cs="Times New Roman"/>
          <w:color w:val="auto"/>
          <w:sz w:val="24"/>
          <w:szCs w:val="24"/>
        </w:rPr>
        <w:lastRenderedPageBreak/>
        <w:t xml:space="preserve">RISLEY, A. (2015). </w:t>
      </w:r>
      <w:r w:rsidRPr="007E56DA">
        <w:rPr>
          <w:rFonts w:ascii="Times New Roman" w:hAnsi="Times New Roman" w:cs="Times New Roman"/>
          <w:i/>
          <w:color w:val="auto"/>
          <w:sz w:val="24"/>
          <w:szCs w:val="24"/>
        </w:rPr>
        <w:t>Civil Society Organizations, Advocacy, and Policy Making in Latin American Democracies</w:t>
      </w:r>
      <w:r w:rsidRPr="007E56DA">
        <w:rPr>
          <w:rFonts w:ascii="Times New Roman" w:hAnsi="Times New Roman" w:cs="Times New Roman"/>
          <w:color w:val="auto"/>
          <w:sz w:val="24"/>
          <w:szCs w:val="24"/>
        </w:rPr>
        <w:t>.</w:t>
      </w:r>
      <w:r w:rsidR="006D3B21" w:rsidRPr="007E56DA">
        <w:rPr>
          <w:rFonts w:ascii="Times New Roman" w:hAnsi="Times New Roman" w:cs="Times New Roman"/>
          <w:i/>
          <w:color w:val="auto"/>
          <w:sz w:val="24"/>
          <w:szCs w:val="24"/>
        </w:rPr>
        <w:t>Pathways to Participation.</w:t>
      </w:r>
      <w:r w:rsidR="00796F58" w:rsidRPr="007E56DA">
        <w:rPr>
          <w:rFonts w:ascii="Times New Roman" w:hAnsi="Times New Roman" w:cs="Times New Roman"/>
          <w:color w:val="auto"/>
          <w:sz w:val="24"/>
          <w:szCs w:val="24"/>
        </w:rPr>
        <w:t xml:space="preserve">Palgrave Macmillan. </w:t>
      </w:r>
      <w:r w:rsidRPr="007E56DA">
        <w:rPr>
          <w:rFonts w:ascii="Times New Roman" w:hAnsi="Times New Roman" w:cs="Times New Roman"/>
          <w:color w:val="auto"/>
          <w:sz w:val="24"/>
          <w:szCs w:val="24"/>
        </w:rPr>
        <w:t>New York</w:t>
      </w:r>
      <w:r w:rsidRPr="007E56DA">
        <w:rPr>
          <w:rFonts w:ascii="Times New Roman" w:eastAsia="Arial" w:hAnsi="Times New Roman" w:cs="Times New Roman"/>
          <w:color w:val="auto"/>
          <w:sz w:val="24"/>
          <w:szCs w:val="24"/>
        </w:rPr>
        <w:t>.</w:t>
      </w:r>
    </w:p>
    <w:p w:rsidR="005E4D63" w:rsidRPr="007E56DA" w:rsidRDefault="005E4D63" w:rsidP="00CE2E92">
      <w:pPr>
        <w:pStyle w:val="Normal10"/>
        <w:spacing w:after="0" w:line="360" w:lineRule="auto"/>
        <w:ind w:left="284" w:hanging="360"/>
        <w:contextualSpacing/>
        <w:rPr>
          <w:rFonts w:ascii="Times New Roman" w:eastAsia="Arial" w:hAnsi="Times New Roman" w:cs="Times New Roman"/>
          <w:color w:val="auto"/>
          <w:sz w:val="24"/>
          <w:szCs w:val="24"/>
        </w:rPr>
      </w:pPr>
      <w:r w:rsidRPr="007E56DA">
        <w:rPr>
          <w:rFonts w:ascii="Times New Roman" w:hAnsi="Times New Roman" w:cs="Times New Roman"/>
          <w:color w:val="auto"/>
          <w:sz w:val="24"/>
          <w:szCs w:val="24"/>
        </w:rPr>
        <w:t>R</w:t>
      </w:r>
      <w:r w:rsidR="00EE5503" w:rsidRPr="007E56DA">
        <w:rPr>
          <w:rFonts w:ascii="Times New Roman" w:hAnsi="Times New Roman" w:cs="Times New Roman"/>
          <w:color w:val="auto"/>
          <w:sz w:val="24"/>
          <w:szCs w:val="24"/>
        </w:rPr>
        <w:t>ISLEY</w:t>
      </w:r>
      <w:r w:rsidRPr="007E56DA">
        <w:rPr>
          <w:rFonts w:ascii="Times New Roman" w:hAnsi="Times New Roman" w:cs="Times New Roman"/>
          <w:color w:val="auto"/>
          <w:sz w:val="24"/>
          <w:szCs w:val="24"/>
        </w:rPr>
        <w:t xml:space="preserve">, A. (2006). </w:t>
      </w:r>
      <w:r w:rsidR="00CE2E92" w:rsidRPr="007E56DA">
        <w:rPr>
          <w:rFonts w:ascii="Times New Roman" w:hAnsi="Times New Roman" w:cs="Times New Roman"/>
          <w:color w:val="auto"/>
          <w:sz w:val="24"/>
          <w:szCs w:val="24"/>
        </w:rPr>
        <w:t>“</w:t>
      </w:r>
      <w:r w:rsidRPr="007E56DA">
        <w:rPr>
          <w:rFonts w:ascii="Times New Roman" w:hAnsi="Times New Roman" w:cs="Times New Roman"/>
          <w:color w:val="auto"/>
          <w:sz w:val="24"/>
          <w:szCs w:val="24"/>
        </w:rPr>
        <w:t>The Political Potential of Civil Society: Advocating for Freedom of Information in Argentina</w:t>
      </w:r>
      <w:r w:rsidR="00CE2E92" w:rsidRPr="007E56DA">
        <w:rPr>
          <w:rFonts w:ascii="Times New Roman" w:hAnsi="Times New Roman" w:cs="Times New Roman"/>
          <w:color w:val="auto"/>
          <w:sz w:val="24"/>
          <w:szCs w:val="24"/>
        </w:rPr>
        <w:t>”</w:t>
      </w:r>
      <w:r w:rsidRPr="007E56DA">
        <w:rPr>
          <w:rFonts w:ascii="Times New Roman" w:hAnsi="Times New Roman" w:cs="Times New Roman"/>
          <w:color w:val="auto"/>
          <w:sz w:val="24"/>
          <w:szCs w:val="24"/>
        </w:rPr>
        <w:t xml:space="preserve">. </w:t>
      </w:r>
      <w:r w:rsidRPr="007E56DA">
        <w:rPr>
          <w:rFonts w:ascii="Times New Roman" w:hAnsi="Times New Roman" w:cs="Times New Roman"/>
          <w:i/>
          <w:color w:val="auto"/>
          <w:sz w:val="24"/>
          <w:szCs w:val="24"/>
        </w:rPr>
        <w:t>The Latin Americanist</w:t>
      </w:r>
      <w:r w:rsidRPr="007E56DA">
        <w:rPr>
          <w:rFonts w:ascii="Times New Roman" w:hAnsi="Times New Roman" w:cs="Times New Roman"/>
          <w:color w:val="auto"/>
          <w:sz w:val="24"/>
          <w:szCs w:val="24"/>
        </w:rPr>
        <w:t>, 49(2)</w:t>
      </w:r>
      <w:r w:rsidR="00804B01" w:rsidRPr="007E56DA">
        <w:rPr>
          <w:rFonts w:ascii="Times New Roman" w:hAnsi="Times New Roman" w:cs="Times New Roman"/>
          <w:color w:val="auto"/>
          <w:sz w:val="24"/>
          <w:szCs w:val="24"/>
        </w:rPr>
        <w:t xml:space="preserve">,(págs. </w:t>
      </w:r>
      <w:r w:rsidRPr="007E56DA">
        <w:rPr>
          <w:rFonts w:ascii="Times New Roman" w:hAnsi="Times New Roman" w:cs="Times New Roman"/>
          <w:color w:val="auto"/>
          <w:sz w:val="24"/>
          <w:szCs w:val="24"/>
        </w:rPr>
        <w:t>99-130</w:t>
      </w:r>
      <w:r w:rsidR="00804B01" w:rsidRPr="007E56DA">
        <w:rPr>
          <w:rFonts w:ascii="Times New Roman" w:hAnsi="Times New Roman" w:cs="Times New Roman"/>
          <w:color w:val="auto"/>
          <w:sz w:val="24"/>
          <w:szCs w:val="24"/>
        </w:rPr>
        <w:t>).</w:t>
      </w:r>
    </w:p>
    <w:p w:rsidR="00260C46" w:rsidRPr="007E56DA" w:rsidRDefault="00260C46" w:rsidP="00EE5503">
      <w:pPr>
        <w:pStyle w:val="Normal10"/>
        <w:spacing w:after="0" w:line="360" w:lineRule="auto"/>
        <w:ind w:left="284" w:hanging="360"/>
        <w:contextualSpacing/>
        <w:rPr>
          <w:rFonts w:ascii="Times New Roman" w:hAnsi="Times New Roman" w:cs="Times New Roman"/>
          <w:bCs/>
          <w:color w:val="auto"/>
          <w:sz w:val="24"/>
          <w:szCs w:val="24"/>
        </w:rPr>
      </w:pPr>
      <w:r w:rsidRPr="007E56DA">
        <w:rPr>
          <w:rFonts w:ascii="Times New Roman" w:eastAsia="Arial" w:hAnsi="Times New Roman" w:cs="Times New Roman"/>
          <w:color w:val="auto"/>
          <w:sz w:val="24"/>
          <w:szCs w:val="24"/>
        </w:rPr>
        <w:t xml:space="preserve">RUBIAL, Alba (2008). </w:t>
      </w:r>
      <w:r w:rsidRPr="007E56DA">
        <w:rPr>
          <w:rFonts w:ascii="Times New Roman" w:hAnsi="Times New Roman" w:cs="Times New Roman"/>
          <w:bCs/>
          <w:i/>
          <w:color w:val="auto"/>
          <w:sz w:val="24"/>
          <w:szCs w:val="24"/>
          <w:shd w:val="clear" w:color="auto" w:fill="FFFFFF"/>
        </w:rPr>
        <w:t>La sociedad civil en el proceso de reformas a la Corte Suprema Argentina</w:t>
      </w:r>
      <w:r w:rsidRPr="007E56DA">
        <w:rPr>
          <w:rFonts w:ascii="Times New Roman" w:hAnsi="Times New Roman" w:cs="Times New Roman"/>
          <w:bCs/>
          <w:color w:val="auto"/>
          <w:sz w:val="24"/>
          <w:szCs w:val="24"/>
          <w:shd w:val="clear" w:color="auto" w:fill="FFFFFF"/>
        </w:rPr>
        <w:t xml:space="preserve">. En </w:t>
      </w:r>
      <w:r w:rsidRPr="007E56DA">
        <w:rPr>
          <w:rFonts w:ascii="Times New Roman" w:hAnsi="Times New Roman" w:cs="Times New Roman"/>
          <w:bCs/>
          <w:i/>
          <w:color w:val="auto"/>
          <w:sz w:val="24"/>
          <w:szCs w:val="24"/>
          <w:shd w:val="clear" w:color="auto" w:fill="FFFFFF"/>
        </w:rPr>
        <w:t xml:space="preserve">Revista mexicana de sociología. </w:t>
      </w:r>
      <w:r w:rsidRPr="007E56DA">
        <w:rPr>
          <w:rFonts w:ascii="Times New Roman" w:hAnsi="Times New Roman" w:cs="Times New Roman"/>
          <w:bCs/>
          <w:color w:val="auto"/>
          <w:sz w:val="24"/>
          <w:szCs w:val="24"/>
          <w:shd w:val="clear" w:color="auto" w:fill="FFFFFF"/>
        </w:rPr>
        <w:t xml:space="preserve">Vol. 70 nº 40. México oct. /dic. 2008 </w:t>
      </w:r>
      <w:r w:rsidRPr="007E56DA">
        <w:rPr>
          <w:rFonts w:ascii="Times New Roman" w:hAnsi="Times New Roman" w:cs="Times New Roman"/>
          <w:bCs/>
          <w:color w:val="auto"/>
          <w:sz w:val="24"/>
          <w:szCs w:val="24"/>
        </w:rPr>
        <w:t>ISSN</w:t>
      </w:r>
      <w:r w:rsidRPr="007E56DA">
        <w:rPr>
          <w:rStyle w:val="apple-converted-space"/>
          <w:rFonts w:ascii="Times New Roman" w:hAnsi="Times New Roman" w:cs="Times New Roman"/>
          <w:bCs/>
          <w:color w:val="auto"/>
          <w:sz w:val="24"/>
          <w:szCs w:val="24"/>
        </w:rPr>
        <w:t> </w:t>
      </w:r>
      <w:r w:rsidRPr="007E56DA">
        <w:rPr>
          <w:rFonts w:ascii="Times New Roman" w:hAnsi="Times New Roman" w:cs="Times New Roman"/>
          <w:bCs/>
          <w:color w:val="auto"/>
          <w:sz w:val="24"/>
          <w:szCs w:val="24"/>
        </w:rPr>
        <w:t>0188-2503</w:t>
      </w:r>
    </w:p>
    <w:p w:rsidR="00260C46" w:rsidRPr="007E56DA" w:rsidRDefault="00260C46" w:rsidP="00EE5503">
      <w:pPr>
        <w:pStyle w:val="Normal10"/>
        <w:spacing w:after="0" w:line="360" w:lineRule="auto"/>
        <w:ind w:left="284" w:hanging="360"/>
        <w:contextualSpacing/>
        <w:rPr>
          <w:rFonts w:ascii="Times New Roman" w:eastAsia="Times New Roman" w:hAnsi="Times New Roman" w:cs="Times New Roman"/>
          <w:color w:val="auto"/>
          <w:sz w:val="24"/>
          <w:szCs w:val="24"/>
        </w:rPr>
      </w:pPr>
      <w:r w:rsidRPr="007E56DA">
        <w:rPr>
          <w:rFonts w:ascii="Times New Roman" w:eastAsia="Times New Roman" w:hAnsi="Times New Roman" w:cs="Times New Roman"/>
          <w:color w:val="auto"/>
          <w:sz w:val="24"/>
          <w:szCs w:val="24"/>
        </w:rPr>
        <w:t>SEGURA, M</w:t>
      </w:r>
      <w:r w:rsidR="00E90835" w:rsidRPr="007E56DA">
        <w:rPr>
          <w:rFonts w:ascii="Times New Roman" w:eastAsia="Times New Roman" w:hAnsi="Times New Roman" w:cs="Times New Roman"/>
          <w:color w:val="auto"/>
          <w:sz w:val="24"/>
          <w:szCs w:val="24"/>
        </w:rPr>
        <w:t>aría</w:t>
      </w:r>
      <w:r w:rsidRPr="007E56DA">
        <w:rPr>
          <w:rFonts w:ascii="Times New Roman" w:eastAsia="Times New Roman" w:hAnsi="Times New Roman" w:cs="Times New Roman"/>
          <w:color w:val="auto"/>
          <w:sz w:val="24"/>
          <w:szCs w:val="24"/>
        </w:rPr>
        <w:t xml:space="preserve"> S</w:t>
      </w:r>
      <w:r w:rsidR="00E90835" w:rsidRPr="007E56DA">
        <w:rPr>
          <w:rFonts w:ascii="Times New Roman" w:eastAsia="Times New Roman" w:hAnsi="Times New Roman" w:cs="Times New Roman"/>
          <w:color w:val="auto"/>
          <w:sz w:val="24"/>
          <w:szCs w:val="24"/>
        </w:rPr>
        <w:t>oledad</w:t>
      </w:r>
      <w:r w:rsidRPr="007E56DA">
        <w:rPr>
          <w:rFonts w:ascii="Times New Roman" w:eastAsia="Times New Roman" w:hAnsi="Times New Roman" w:cs="Times New Roman"/>
          <w:color w:val="auto"/>
          <w:sz w:val="24"/>
          <w:szCs w:val="24"/>
        </w:rPr>
        <w:t xml:space="preserve"> (2011). </w:t>
      </w:r>
      <w:r w:rsidRPr="007E56DA">
        <w:rPr>
          <w:rFonts w:ascii="Times New Roman" w:eastAsia="Times New Roman" w:hAnsi="Times New Roman" w:cs="Times New Roman"/>
          <w:i/>
          <w:color w:val="auto"/>
          <w:sz w:val="24"/>
          <w:szCs w:val="24"/>
        </w:rPr>
        <w:t>Las disputas por democratizar las comunicaciones. Las tomas de posición de las organizaciones sociales (Córdoba, 2001-2009).</w:t>
      </w:r>
      <w:r w:rsidRPr="007E56DA">
        <w:rPr>
          <w:rFonts w:ascii="Times New Roman" w:eastAsia="Times New Roman" w:hAnsi="Times New Roman" w:cs="Times New Roman"/>
          <w:color w:val="auto"/>
          <w:sz w:val="24"/>
          <w:szCs w:val="24"/>
        </w:rPr>
        <w:t xml:space="preserve"> Tesis del Doctorado en Ciencias Sociales de la Universidad de Buenos Aires. Argentina.</w:t>
      </w:r>
    </w:p>
    <w:p w:rsidR="008C5920" w:rsidRPr="007E56DA" w:rsidRDefault="008C5920"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SEGURA, María Soledad (2015) </w:t>
      </w:r>
      <w:r w:rsidR="00B535D6" w:rsidRPr="007E56DA">
        <w:rPr>
          <w:rFonts w:ascii="Times New Roman" w:eastAsia="Times New Roman" w:hAnsi="Times New Roman" w:cs="Times New Roman"/>
          <w:color w:val="auto"/>
          <w:sz w:val="24"/>
          <w:szCs w:val="24"/>
        </w:rPr>
        <w:t>“Social impact on communication laws and policies making process in Latin America”, c</w:t>
      </w:r>
      <w:r w:rsidRPr="007E56DA">
        <w:rPr>
          <w:rFonts w:ascii="Times New Roman" w:eastAsia="Times New Roman" w:hAnsi="Times New Roman" w:cs="Times New Roman"/>
          <w:color w:val="auto"/>
          <w:sz w:val="24"/>
          <w:szCs w:val="24"/>
        </w:rPr>
        <w:t>onferencia presentada en la International Association for Media and Communication Research (IAMCR</w:t>
      </w:r>
      <w:r w:rsidRPr="007E56DA">
        <w:rPr>
          <w:rFonts w:ascii="Times New Roman" w:hAnsi="Times New Roman" w:cs="Times New Roman"/>
          <w:color w:val="auto"/>
          <w:sz w:val="24"/>
          <w:szCs w:val="24"/>
        </w:rPr>
        <w:t xml:space="preserve">), </w:t>
      </w:r>
      <w:r w:rsidR="004C4E41" w:rsidRPr="007E56DA">
        <w:rPr>
          <w:rFonts w:ascii="Times New Roman" w:hAnsi="Times New Roman" w:cs="Times New Roman"/>
          <w:color w:val="auto"/>
          <w:sz w:val="24"/>
          <w:szCs w:val="24"/>
        </w:rPr>
        <w:t>Faculté de C</w:t>
      </w:r>
      <w:r w:rsidR="005C0228" w:rsidRPr="007E56DA">
        <w:rPr>
          <w:rFonts w:ascii="Times New Roman" w:hAnsi="Times New Roman" w:cs="Times New Roman"/>
          <w:color w:val="auto"/>
          <w:sz w:val="24"/>
          <w:szCs w:val="24"/>
        </w:rPr>
        <w:t xml:space="preserve">ommunication, Université du Québec, Montréal, </w:t>
      </w:r>
      <w:r w:rsidRPr="007E56DA">
        <w:rPr>
          <w:rFonts w:ascii="Times New Roman" w:hAnsi="Times New Roman" w:cs="Times New Roman"/>
          <w:color w:val="auto"/>
          <w:sz w:val="24"/>
          <w:szCs w:val="24"/>
        </w:rPr>
        <w:t>2015.</w:t>
      </w:r>
    </w:p>
    <w:p w:rsidR="00B766DB" w:rsidRPr="007E56DA" w:rsidRDefault="00B766DB"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hAnsi="Times New Roman" w:cs="Times New Roman"/>
          <w:color w:val="auto"/>
          <w:sz w:val="24"/>
          <w:szCs w:val="24"/>
        </w:rPr>
        <w:t xml:space="preserve">SEGURA, María Soledad y otros (2016) “Organizaciones sociales, políticas, culturales y de comunicación en las luchas simbólicas. Un enfoque socio-discursivo de sus prácticas”, proyecto </w:t>
      </w:r>
      <w:r w:rsidR="00C94CF6" w:rsidRPr="007E56DA">
        <w:rPr>
          <w:rFonts w:ascii="Times New Roman" w:hAnsi="Times New Roman" w:cs="Times New Roman"/>
          <w:color w:val="auto"/>
          <w:sz w:val="24"/>
          <w:szCs w:val="24"/>
        </w:rPr>
        <w:t xml:space="preserve">tipo A, evaluado y financiado, periodo </w:t>
      </w:r>
      <w:r w:rsidRPr="007E56DA">
        <w:rPr>
          <w:rFonts w:ascii="Times New Roman" w:hAnsi="Times New Roman" w:cs="Times New Roman"/>
          <w:color w:val="auto"/>
          <w:sz w:val="24"/>
          <w:szCs w:val="24"/>
        </w:rPr>
        <w:t>2016-2017 SECyT – UNC (en curso).</w:t>
      </w:r>
    </w:p>
    <w:p w:rsidR="00A7012C" w:rsidRPr="007E56DA" w:rsidRDefault="00EE5503"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hAnsi="Times New Roman" w:cs="Times New Roman"/>
          <w:color w:val="auto"/>
          <w:sz w:val="24"/>
          <w:szCs w:val="24"/>
        </w:rPr>
        <w:t>SEGURA,</w:t>
      </w:r>
      <w:r w:rsidR="00A7012C" w:rsidRPr="007E56DA">
        <w:rPr>
          <w:rFonts w:ascii="Times New Roman" w:hAnsi="Times New Roman" w:cs="Times New Roman"/>
          <w:color w:val="auto"/>
          <w:sz w:val="24"/>
          <w:szCs w:val="24"/>
        </w:rPr>
        <w:t xml:space="preserve"> María Soledad y W</w:t>
      </w:r>
      <w:r w:rsidRPr="007E56DA">
        <w:rPr>
          <w:rFonts w:ascii="Times New Roman" w:hAnsi="Times New Roman" w:cs="Times New Roman"/>
          <w:color w:val="auto"/>
          <w:sz w:val="24"/>
          <w:szCs w:val="24"/>
        </w:rPr>
        <w:t>AISBORD</w:t>
      </w:r>
      <w:r w:rsidR="00A7012C" w:rsidRPr="007E56DA">
        <w:rPr>
          <w:rFonts w:ascii="Times New Roman" w:hAnsi="Times New Roman" w:cs="Times New Roman"/>
          <w:color w:val="auto"/>
          <w:sz w:val="24"/>
          <w:szCs w:val="24"/>
        </w:rPr>
        <w:t xml:space="preserve">, Silvio (2016) "Participación ciudadana en la implementación de las nuevas legislaciones de comunicación: Innovaciones y Limitaciones", en Sierra, Francisco y Gravante, Tomasso (coords.) (2016) </w:t>
      </w:r>
      <w:r w:rsidR="00A7012C" w:rsidRPr="007E56DA">
        <w:rPr>
          <w:rFonts w:ascii="Times New Roman" w:hAnsi="Times New Roman" w:cs="Times New Roman"/>
          <w:i/>
          <w:color w:val="auto"/>
          <w:sz w:val="24"/>
          <w:szCs w:val="24"/>
        </w:rPr>
        <w:t>Tecnopolítica en América Latina</w:t>
      </w:r>
      <w:r w:rsidR="00A7012C" w:rsidRPr="007E56DA">
        <w:rPr>
          <w:rFonts w:ascii="Times New Roman" w:hAnsi="Times New Roman" w:cs="Times New Roman"/>
          <w:color w:val="auto"/>
          <w:sz w:val="24"/>
          <w:szCs w:val="24"/>
        </w:rPr>
        <w:t>, Gedisa y Ciespal. (En prensa).</w:t>
      </w:r>
    </w:p>
    <w:p w:rsidR="000428A8" w:rsidRPr="007E56DA" w:rsidRDefault="00EE5503" w:rsidP="00EE5503">
      <w:pPr>
        <w:spacing w:after="0" w:line="360" w:lineRule="auto"/>
        <w:ind w:left="181" w:hanging="181"/>
        <w:jc w:val="both"/>
        <w:rPr>
          <w:rFonts w:ascii="Times New Roman" w:hAnsi="Times New Roman" w:cs="Times New Roman"/>
          <w:color w:val="auto"/>
          <w:sz w:val="24"/>
          <w:szCs w:val="24"/>
        </w:rPr>
      </w:pPr>
      <w:r w:rsidRPr="007E56DA">
        <w:rPr>
          <w:rFonts w:ascii="Times New Roman" w:hAnsi="Times New Roman" w:cs="Times New Roman"/>
          <w:noProof/>
          <w:color w:val="auto"/>
          <w:sz w:val="24"/>
          <w:szCs w:val="24"/>
        </w:rPr>
        <w:t>SORJ</w:t>
      </w:r>
      <w:r w:rsidR="000428A8" w:rsidRPr="007E56DA">
        <w:rPr>
          <w:rFonts w:ascii="Times New Roman" w:hAnsi="Times New Roman" w:cs="Times New Roman"/>
          <w:noProof/>
          <w:color w:val="auto"/>
          <w:sz w:val="24"/>
          <w:szCs w:val="24"/>
        </w:rPr>
        <w:t xml:space="preserve">, B. (2010) </w:t>
      </w:r>
      <w:r w:rsidR="000428A8" w:rsidRPr="007E56DA">
        <w:rPr>
          <w:rFonts w:ascii="Times New Roman" w:hAnsi="Times New Roman" w:cs="Times New Roman"/>
          <w:i/>
          <w:iCs/>
          <w:noProof/>
          <w:color w:val="auto"/>
          <w:sz w:val="24"/>
          <w:szCs w:val="24"/>
        </w:rPr>
        <w:t>Usos, abusos y desafíos de la sociedad civil en América Latina</w:t>
      </w:r>
      <w:r w:rsidR="000428A8" w:rsidRPr="007E56DA">
        <w:rPr>
          <w:rFonts w:ascii="Times New Roman" w:hAnsi="Times New Roman" w:cs="Times New Roman"/>
          <w:noProof/>
          <w:color w:val="auto"/>
          <w:sz w:val="24"/>
          <w:szCs w:val="24"/>
        </w:rPr>
        <w:t xml:space="preserve">, Siglo XXI,Buenos Aires, págs. 6-15. </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TORRES CÁRDENAS, M</w:t>
      </w:r>
      <w:r w:rsidR="00E90835" w:rsidRPr="007E56DA">
        <w:rPr>
          <w:rFonts w:ascii="Times New Roman" w:eastAsia="Times New Roman" w:hAnsi="Times New Roman" w:cs="Times New Roman"/>
          <w:color w:val="auto"/>
          <w:sz w:val="24"/>
          <w:szCs w:val="24"/>
        </w:rPr>
        <w:t>ariana</w:t>
      </w:r>
      <w:r w:rsidRPr="007E56DA">
        <w:rPr>
          <w:rFonts w:ascii="Times New Roman" w:eastAsia="Times New Roman" w:hAnsi="Times New Roman" w:cs="Times New Roman"/>
          <w:color w:val="auto"/>
          <w:sz w:val="24"/>
          <w:szCs w:val="24"/>
        </w:rPr>
        <w:t xml:space="preserve">; </w:t>
      </w:r>
      <w:r w:rsidR="00E90835" w:rsidRPr="007E56DA">
        <w:rPr>
          <w:rFonts w:ascii="Times New Roman" w:eastAsia="Times New Roman" w:hAnsi="Times New Roman" w:cs="Times New Roman"/>
          <w:color w:val="auto"/>
          <w:sz w:val="24"/>
          <w:szCs w:val="24"/>
        </w:rPr>
        <w:t>FINK</w:t>
      </w:r>
      <w:r w:rsidRPr="007E56DA">
        <w:rPr>
          <w:rFonts w:ascii="Times New Roman" w:eastAsia="Times New Roman" w:hAnsi="Times New Roman" w:cs="Times New Roman"/>
          <w:color w:val="auto"/>
          <w:sz w:val="24"/>
          <w:szCs w:val="24"/>
        </w:rPr>
        <w:t>, N</w:t>
      </w:r>
      <w:r w:rsidR="00E90835" w:rsidRPr="007E56DA">
        <w:rPr>
          <w:rFonts w:ascii="Times New Roman" w:eastAsia="Times New Roman" w:hAnsi="Times New Roman" w:cs="Times New Roman"/>
          <w:color w:val="auto"/>
          <w:sz w:val="24"/>
          <w:szCs w:val="24"/>
        </w:rPr>
        <w:t>adia</w:t>
      </w:r>
      <w:r w:rsidRPr="007E56DA">
        <w:rPr>
          <w:rFonts w:ascii="Times New Roman" w:eastAsia="Times New Roman" w:hAnsi="Times New Roman" w:cs="Times New Roman"/>
          <w:color w:val="auto"/>
          <w:sz w:val="24"/>
          <w:szCs w:val="24"/>
        </w:rPr>
        <w:t xml:space="preserve">. </w:t>
      </w:r>
      <w:r w:rsidR="00E90835" w:rsidRPr="007E56DA">
        <w:rPr>
          <w:rFonts w:ascii="Times New Roman" w:eastAsia="Times New Roman" w:hAnsi="Times New Roman" w:cs="Times New Roman"/>
          <w:color w:val="auto"/>
          <w:sz w:val="24"/>
          <w:szCs w:val="24"/>
        </w:rPr>
        <w:t>DE ISLA</w:t>
      </w:r>
      <w:r w:rsidRPr="007E56DA">
        <w:rPr>
          <w:rFonts w:ascii="Times New Roman" w:eastAsia="Times New Roman" w:hAnsi="Times New Roman" w:cs="Times New Roman"/>
          <w:color w:val="auto"/>
          <w:sz w:val="24"/>
          <w:szCs w:val="24"/>
        </w:rPr>
        <w:t>, M</w:t>
      </w:r>
      <w:r w:rsidR="00E90835" w:rsidRPr="007E56DA">
        <w:rPr>
          <w:rFonts w:ascii="Times New Roman" w:eastAsia="Times New Roman" w:hAnsi="Times New Roman" w:cs="Times New Roman"/>
          <w:color w:val="auto"/>
          <w:sz w:val="24"/>
          <w:szCs w:val="24"/>
        </w:rPr>
        <w:t>ercedes</w:t>
      </w:r>
      <w:r w:rsidRPr="007E56DA">
        <w:rPr>
          <w:rFonts w:ascii="Times New Roman" w:eastAsia="Times New Roman" w:hAnsi="Times New Roman" w:cs="Times New Roman"/>
          <w:color w:val="auto"/>
          <w:sz w:val="24"/>
          <w:szCs w:val="24"/>
        </w:rPr>
        <w:t xml:space="preserve"> (2013). </w:t>
      </w:r>
      <w:r w:rsidRPr="007E56DA">
        <w:rPr>
          <w:rFonts w:ascii="Times New Roman" w:eastAsia="Times New Roman" w:hAnsi="Times New Roman" w:cs="Times New Roman"/>
          <w:i/>
          <w:color w:val="auto"/>
          <w:sz w:val="24"/>
          <w:szCs w:val="24"/>
        </w:rPr>
        <w:t>Marita Verón: Paradigma y símbolo de lucha contra la trata</w:t>
      </w:r>
      <w:r w:rsidRPr="007E56DA">
        <w:rPr>
          <w:rFonts w:ascii="Times New Roman" w:eastAsia="Times New Roman" w:hAnsi="Times New Roman" w:cs="Times New Roman"/>
          <w:color w:val="auto"/>
          <w:sz w:val="24"/>
          <w:szCs w:val="24"/>
        </w:rPr>
        <w:t xml:space="preserve">. En: </w:t>
      </w:r>
      <w:r w:rsidRPr="007E56DA">
        <w:rPr>
          <w:rFonts w:ascii="Times New Roman" w:eastAsia="Times New Roman" w:hAnsi="Times New Roman" w:cs="Times New Roman"/>
          <w:i/>
          <w:color w:val="auto"/>
          <w:sz w:val="24"/>
          <w:szCs w:val="24"/>
        </w:rPr>
        <w:t>Se trata de nosotras.</w:t>
      </w:r>
      <w:r w:rsidRPr="007E56DA">
        <w:rPr>
          <w:rFonts w:ascii="Times New Roman" w:eastAsia="Times New Roman" w:hAnsi="Times New Roman" w:cs="Times New Roman"/>
          <w:color w:val="auto"/>
          <w:sz w:val="24"/>
          <w:szCs w:val="24"/>
        </w:rPr>
        <w:t xml:space="preserve"> Argentina: Las Juanas Editoras.</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 xml:space="preserve">URANGA, W. (2016). </w:t>
      </w:r>
      <w:r w:rsidRPr="007E56DA">
        <w:rPr>
          <w:rFonts w:ascii="Times New Roman" w:eastAsia="Times New Roman" w:hAnsi="Times New Roman" w:cs="Times New Roman"/>
          <w:i/>
          <w:color w:val="auto"/>
          <w:sz w:val="24"/>
          <w:szCs w:val="24"/>
        </w:rPr>
        <w:t>Conocer, transformar, comunicar</w:t>
      </w:r>
      <w:r w:rsidRPr="007E56DA">
        <w:rPr>
          <w:rFonts w:ascii="Times New Roman" w:eastAsia="Times New Roman" w:hAnsi="Times New Roman" w:cs="Times New Roman"/>
          <w:color w:val="auto"/>
          <w:sz w:val="24"/>
          <w:szCs w:val="24"/>
        </w:rPr>
        <w:t>. Buenos Aires: Editora Patria Grande.</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URANGA,</w:t>
      </w:r>
      <w:r w:rsidR="00E90835" w:rsidRPr="007E56DA">
        <w:rPr>
          <w:rFonts w:ascii="Times New Roman" w:eastAsia="Times New Roman" w:hAnsi="Times New Roman" w:cs="Times New Roman"/>
          <w:color w:val="auto"/>
          <w:sz w:val="24"/>
          <w:szCs w:val="24"/>
        </w:rPr>
        <w:t xml:space="preserve"> Washington</w:t>
      </w:r>
      <w:r w:rsidRPr="007E56DA">
        <w:rPr>
          <w:rFonts w:ascii="Times New Roman" w:eastAsia="Times New Roman" w:hAnsi="Times New Roman" w:cs="Times New Roman"/>
          <w:color w:val="auto"/>
          <w:sz w:val="24"/>
          <w:szCs w:val="24"/>
        </w:rPr>
        <w:t>&amp; THOMSON, H</w:t>
      </w:r>
      <w:r w:rsidR="00E90835" w:rsidRPr="007E56DA">
        <w:rPr>
          <w:rFonts w:ascii="Times New Roman" w:eastAsia="Times New Roman" w:hAnsi="Times New Roman" w:cs="Times New Roman"/>
          <w:color w:val="auto"/>
          <w:sz w:val="24"/>
          <w:szCs w:val="24"/>
        </w:rPr>
        <w:t>éctor</w:t>
      </w:r>
      <w:r w:rsidRPr="007E56DA">
        <w:rPr>
          <w:rFonts w:ascii="Times New Roman" w:eastAsia="Times New Roman" w:hAnsi="Times New Roman" w:cs="Times New Roman"/>
          <w:color w:val="auto"/>
          <w:sz w:val="24"/>
          <w:szCs w:val="24"/>
        </w:rPr>
        <w:t xml:space="preserve"> (coord.) (2016).</w:t>
      </w:r>
      <w:r w:rsidRPr="007E56DA">
        <w:rPr>
          <w:rFonts w:ascii="Times New Roman" w:eastAsia="Times New Roman" w:hAnsi="Times New Roman" w:cs="Times New Roman"/>
          <w:i/>
          <w:color w:val="auto"/>
          <w:sz w:val="24"/>
          <w:szCs w:val="24"/>
        </w:rPr>
        <w:t>La incidencia como camino para la construcción ciudadana</w:t>
      </w:r>
      <w:r w:rsidRPr="007E56DA">
        <w:rPr>
          <w:rFonts w:ascii="Times New Roman" w:eastAsia="Times New Roman" w:hAnsi="Times New Roman" w:cs="Times New Roman"/>
          <w:color w:val="auto"/>
          <w:sz w:val="24"/>
          <w:szCs w:val="24"/>
        </w:rPr>
        <w:t>. Buenos Aires: Editora Patria Grande.</w:t>
      </w:r>
    </w:p>
    <w:p w:rsidR="00260C46" w:rsidRPr="007E56DA" w:rsidRDefault="00260C46" w:rsidP="00EE5503">
      <w:pPr>
        <w:pStyle w:val="Normal10"/>
        <w:spacing w:after="0" w:line="360" w:lineRule="auto"/>
        <w:ind w:left="284" w:hanging="360"/>
        <w:contextualSpacing/>
        <w:rPr>
          <w:rFonts w:ascii="Times New Roman" w:hAnsi="Times New Roman" w:cs="Times New Roman"/>
          <w:color w:val="auto"/>
          <w:sz w:val="24"/>
          <w:szCs w:val="24"/>
        </w:rPr>
      </w:pPr>
      <w:r w:rsidRPr="007E56DA">
        <w:rPr>
          <w:rFonts w:ascii="Times New Roman" w:eastAsia="Times New Roman" w:hAnsi="Times New Roman" w:cs="Times New Roman"/>
          <w:color w:val="auto"/>
          <w:sz w:val="24"/>
          <w:szCs w:val="24"/>
        </w:rPr>
        <w:t>VALLEJOS, S</w:t>
      </w:r>
      <w:r w:rsidR="00534C0F" w:rsidRPr="007E56DA">
        <w:rPr>
          <w:rFonts w:ascii="Times New Roman" w:eastAsia="Times New Roman" w:hAnsi="Times New Roman" w:cs="Times New Roman"/>
          <w:color w:val="auto"/>
          <w:sz w:val="24"/>
          <w:szCs w:val="24"/>
        </w:rPr>
        <w:t>oledad</w:t>
      </w:r>
      <w:r w:rsidRPr="007E56DA">
        <w:rPr>
          <w:rFonts w:ascii="Times New Roman" w:eastAsia="Times New Roman" w:hAnsi="Times New Roman" w:cs="Times New Roman"/>
          <w:color w:val="auto"/>
          <w:sz w:val="24"/>
          <w:szCs w:val="24"/>
        </w:rPr>
        <w:t xml:space="preserve"> (2013). </w:t>
      </w:r>
      <w:r w:rsidRPr="007E56DA">
        <w:rPr>
          <w:rFonts w:ascii="Times New Roman" w:eastAsia="Times New Roman" w:hAnsi="Times New Roman" w:cs="Times New Roman"/>
          <w:i/>
          <w:color w:val="auto"/>
          <w:sz w:val="24"/>
          <w:szCs w:val="24"/>
        </w:rPr>
        <w:t>Trimarco. La mujer que lucha por todas las mujeres</w:t>
      </w:r>
      <w:r w:rsidRPr="007E56DA">
        <w:rPr>
          <w:rFonts w:ascii="Times New Roman" w:eastAsia="Times New Roman" w:hAnsi="Times New Roman" w:cs="Times New Roman"/>
          <w:color w:val="auto"/>
          <w:sz w:val="24"/>
          <w:szCs w:val="24"/>
        </w:rPr>
        <w:t>. Buenos Aires: Aguilar.</w:t>
      </w:r>
    </w:p>
    <w:p w:rsidR="00260C46" w:rsidRPr="007E56DA" w:rsidRDefault="00260C46" w:rsidP="00EE5503">
      <w:pPr>
        <w:spacing w:after="0" w:line="360" w:lineRule="auto"/>
        <w:contextualSpacing/>
        <w:rPr>
          <w:rFonts w:ascii="Times New Roman" w:hAnsi="Times New Roman" w:cs="Times New Roman"/>
          <w:color w:val="auto"/>
          <w:sz w:val="24"/>
          <w:szCs w:val="24"/>
        </w:rPr>
      </w:pPr>
    </w:p>
    <w:sectPr w:rsidR="00260C46" w:rsidRPr="007E56DA" w:rsidSect="00562A99">
      <w:pgSz w:w="11906" w:h="16838"/>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704" w:rsidRDefault="00CB1704" w:rsidP="00562A99">
      <w:pPr>
        <w:spacing w:after="0" w:line="240" w:lineRule="auto"/>
      </w:pPr>
      <w:r>
        <w:separator/>
      </w:r>
    </w:p>
  </w:endnote>
  <w:endnote w:type="continuationSeparator" w:id="1">
    <w:p w:rsidR="00CB1704" w:rsidRDefault="00CB1704" w:rsidP="00562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704" w:rsidRDefault="00CB1704" w:rsidP="00562A99">
      <w:pPr>
        <w:spacing w:after="0" w:line="240" w:lineRule="auto"/>
      </w:pPr>
      <w:r>
        <w:separator/>
      </w:r>
    </w:p>
  </w:footnote>
  <w:footnote w:type="continuationSeparator" w:id="1">
    <w:p w:rsidR="00CB1704" w:rsidRDefault="00CB1704" w:rsidP="00562A99">
      <w:pPr>
        <w:spacing w:after="0" w:line="240" w:lineRule="auto"/>
      </w:pPr>
      <w:r>
        <w:continuationSeparator/>
      </w:r>
    </w:p>
  </w:footnote>
  <w:footnote w:id="2">
    <w:p w:rsidR="00A750F9" w:rsidRPr="007E56DA" w:rsidRDefault="00A750F9" w:rsidP="00A750F9">
      <w:pPr>
        <w:pStyle w:val="Textonotapie"/>
        <w:rPr>
          <w:rFonts w:ascii="Times New Roman" w:hAnsi="Times New Roman" w:cs="Times New Roman"/>
          <w:lang w:val="es-AR"/>
        </w:rPr>
      </w:pPr>
      <w:r w:rsidRPr="007E56DA">
        <w:rPr>
          <w:rStyle w:val="Refdenotaalpie"/>
          <w:rFonts w:ascii="Times New Roman" w:hAnsi="Times New Roman" w:cs="Times New Roman"/>
        </w:rPr>
        <w:footnoteRef/>
      </w:r>
      <w:r w:rsidRPr="007E56DA">
        <w:rPr>
          <w:rFonts w:ascii="Times New Roman" w:hAnsi="Times New Roman" w:cs="Times New Roman"/>
          <w:lang w:val="es-AR"/>
        </w:rPr>
        <w:t xml:space="preserve">Este trabajo fue publicado en la revista </w:t>
      </w:r>
      <w:r w:rsidRPr="007E56DA">
        <w:rPr>
          <w:rFonts w:ascii="Times New Roman" w:hAnsi="Times New Roman" w:cs="Times New Roman"/>
          <w:i/>
          <w:lang w:val="es-AR"/>
        </w:rPr>
        <w:t xml:space="preserve">Administración Pública y Sociedad </w:t>
      </w:r>
      <w:r w:rsidRPr="007E56DA">
        <w:rPr>
          <w:rFonts w:ascii="Times New Roman" w:hAnsi="Times New Roman" w:cs="Times New Roman"/>
          <w:lang w:val="es-AR"/>
        </w:rPr>
        <w:t xml:space="preserve">(APYS) Nº2 (diciembre 2016), del Instituto de Investigación y Formación en Administración Pública (IIFAP), de la Universidad Nacional de Córdoba. Disponible en: </w:t>
      </w:r>
      <w:hyperlink r:id="rId1" w:history="1">
        <w:r w:rsidRPr="007E56DA">
          <w:rPr>
            <w:rStyle w:val="Hipervnculo"/>
            <w:rFonts w:ascii="Times New Roman" w:hAnsi="Times New Roman" w:cs="Times New Roman"/>
            <w:lang w:val="es-AR"/>
          </w:rPr>
          <w:t>https://revistas.unc.edu.ar/index.php/APyS/article/view/15689</w:t>
        </w:r>
      </w:hyperlink>
    </w:p>
  </w:footnote>
  <w:footnote w:id="3">
    <w:p w:rsidR="00B351B9" w:rsidRPr="007E56DA" w:rsidRDefault="00B351B9" w:rsidP="007D4F9C">
      <w:pPr>
        <w:pStyle w:val="Textonotapie"/>
        <w:jc w:val="both"/>
        <w:rPr>
          <w:rFonts w:ascii="Times New Roman" w:hAnsi="Times New Roman" w:cs="Times New Roman"/>
          <w:lang w:val="es-AR"/>
        </w:rPr>
      </w:pPr>
      <w:r w:rsidRPr="007E56DA">
        <w:rPr>
          <w:rStyle w:val="Refdenotaalpie"/>
          <w:rFonts w:ascii="Times New Roman" w:hAnsi="Times New Roman" w:cs="Times New Roman"/>
        </w:rPr>
        <w:footnoteRef/>
      </w:r>
      <w:r w:rsidRPr="007E56DA">
        <w:rPr>
          <w:rFonts w:ascii="Times New Roman" w:hAnsi="Times New Roman" w:cs="Times New Roman"/>
        </w:rPr>
        <w:t xml:space="preserve"> Retomamos los trabajos sobre incidencia de Acuña y Vacchieri, 2007 y Leiras, 2007, entre otros.</w:t>
      </w:r>
    </w:p>
  </w:footnote>
  <w:footnote w:id="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006216BB" w:rsidRPr="007E56DA">
        <w:rPr>
          <w:rFonts w:ascii="Times New Roman" w:eastAsia="Arial" w:hAnsi="Times New Roman" w:cs="Times New Roman"/>
          <w:color w:val="auto"/>
          <w:sz w:val="20"/>
          <w:szCs w:val="20"/>
        </w:rPr>
        <w:t>Si bien l</w:t>
      </w:r>
      <w:r w:rsidR="00F20A4B" w:rsidRPr="007E56DA">
        <w:rPr>
          <w:rFonts w:ascii="Times New Roman" w:eastAsia="Arial" w:hAnsi="Times New Roman" w:cs="Times New Roman"/>
          <w:color w:val="auto"/>
          <w:sz w:val="20"/>
          <w:szCs w:val="20"/>
        </w:rPr>
        <w:t xml:space="preserve">as organizaciones de la sociedad civil </w:t>
      </w:r>
      <w:r w:rsidR="00AE6CC1" w:rsidRPr="007E56DA">
        <w:rPr>
          <w:rFonts w:ascii="Times New Roman" w:eastAsia="Arial" w:hAnsi="Times New Roman" w:cs="Times New Roman"/>
          <w:color w:val="auto"/>
          <w:sz w:val="20"/>
          <w:szCs w:val="20"/>
        </w:rPr>
        <w:t>son susceptibles de</w:t>
      </w:r>
      <w:r w:rsidR="00F20A4B" w:rsidRPr="007E56DA">
        <w:rPr>
          <w:rFonts w:ascii="Times New Roman" w:eastAsia="Arial" w:hAnsi="Times New Roman" w:cs="Times New Roman"/>
          <w:color w:val="auto"/>
          <w:sz w:val="20"/>
          <w:szCs w:val="20"/>
        </w:rPr>
        <w:t xml:space="preserve"> participar en los diferentes momentos del proceso de producción de políticas públicas: el debate público e institucional, en </w:t>
      </w:r>
      <w:r w:rsidR="006216BB" w:rsidRPr="007E56DA">
        <w:rPr>
          <w:rFonts w:ascii="Times New Roman" w:eastAsia="Arial" w:hAnsi="Times New Roman" w:cs="Times New Roman"/>
          <w:color w:val="auto"/>
          <w:sz w:val="20"/>
          <w:szCs w:val="20"/>
        </w:rPr>
        <w:t>su</w:t>
      </w:r>
      <w:r w:rsidR="00F20A4B" w:rsidRPr="007E56DA">
        <w:rPr>
          <w:rFonts w:ascii="Times New Roman" w:eastAsia="Arial" w:hAnsi="Times New Roman" w:cs="Times New Roman"/>
          <w:color w:val="auto"/>
          <w:sz w:val="20"/>
          <w:szCs w:val="20"/>
        </w:rPr>
        <w:t xml:space="preserve"> definición</w:t>
      </w:r>
      <w:r w:rsidR="006216BB" w:rsidRPr="007E56DA">
        <w:rPr>
          <w:rFonts w:ascii="Times New Roman" w:eastAsia="Arial" w:hAnsi="Times New Roman" w:cs="Times New Roman"/>
          <w:color w:val="auto"/>
          <w:sz w:val="20"/>
          <w:szCs w:val="20"/>
        </w:rPr>
        <w:t>,</w:t>
      </w:r>
      <w:r w:rsidR="00F20A4B" w:rsidRPr="007E56DA">
        <w:rPr>
          <w:rFonts w:ascii="Times New Roman" w:eastAsia="Arial" w:hAnsi="Times New Roman" w:cs="Times New Roman"/>
          <w:color w:val="auto"/>
          <w:sz w:val="20"/>
          <w:szCs w:val="20"/>
        </w:rPr>
        <w:t xml:space="preserve"> y en su implementación y control (Segura</w:t>
      </w:r>
      <w:r w:rsidR="00AD1EC7" w:rsidRPr="007E56DA">
        <w:rPr>
          <w:rFonts w:ascii="Times New Roman" w:eastAsia="Arial" w:hAnsi="Times New Roman" w:cs="Times New Roman"/>
          <w:color w:val="auto"/>
          <w:sz w:val="20"/>
          <w:szCs w:val="20"/>
        </w:rPr>
        <w:t>, 2015)</w:t>
      </w:r>
      <w:r w:rsidR="006216BB" w:rsidRPr="007E56DA">
        <w:rPr>
          <w:rFonts w:ascii="Times New Roman" w:eastAsia="Arial" w:hAnsi="Times New Roman" w:cs="Times New Roman"/>
          <w:color w:val="auto"/>
          <w:sz w:val="20"/>
          <w:szCs w:val="20"/>
        </w:rPr>
        <w:t xml:space="preserve">; en este trabajo nos concentramos en los procesos de debate público, institucional y definición de normas </w:t>
      </w:r>
      <w:r w:rsidR="00FC1CB0" w:rsidRPr="007E56DA">
        <w:rPr>
          <w:rFonts w:ascii="Times New Roman" w:eastAsia="Arial" w:hAnsi="Times New Roman" w:cs="Times New Roman"/>
          <w:color w:val="auto"/>
          <w:sz w:val="20"/>
          <w:szCs w:val="20"/>
        </w:rPr>
        <w:t>particulares</w:t>
      </w:r>
      <w:r w:rsidR="00F20A4B" w:rsidRPr="007E56DA">
        <w:rPr>
          <w:rFonts w:ascii="Times New Roman" w:eastAsia="Arial" w:hAnsi="Times New Roman" w:cs="Times New Roman"/>
          <w:color w:val="auto"/>
          <w:sz w:val="20"/>
          <w:szCs w:val="20"/>
        </w:rPr>
        <w:t>.</w:t>
      </w:r>
    </w:p>
  </w:footnote>
  <w:footnote w:id="5">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Nota titulada: “Intentos por democratizar la Justicia”, por Irina Hauser, disponible en: </w:t>
      </w:r>
      <w:hyperlink r:id="rId2" w:history="1">
        <w:r w:rsidRPr="007E56DA">
          <w:rPr>
            <w:rStyle w:val="Hipervnculo"/>
            <w:rFonts w:ascii="Times New Roman" w:eastAsia="Arial" w:hAnsi="Times New Roman" w:cs="Times New Roman"/>
            <w:sz w:val="20"/>
            <w:szCs w:val="20"/>
          </w:rPr>
          <w:t>http://www.pagina12.com.ar/diario/elpais/1-287902-2015-12-10.htm</w:t>
        </w:r>
        <w:r w:rsidRPr="007E56DA">
          <w:rPr>
            <w:rStyle w:val="Hipervnculo"/>
            <w:rFonts w:ascii="Times New Roman" w:hAnsi="Times New Roman" w:cs="Times New Roman"/>
            <w:sz w:val="20"/>
            <w:szCs w:val="20"/>
          </w:rPr>
          <w:t>l</w:t>
        </w:r>
      </w:hyperlink>
      <w:r w:rsidRPr="007E56DA">
        <w:rPr>
          <w:rFonts w:ascii="Times New Roman" w:eastAsia="Arial" w:hAnsi="Times New Roman" w:cs="Times New Roman"/>
          <w:color w:val="auto"/>
          <w:sz w:val="20"/>
          <w:szCs w:val="20"/>
        </w:rPr>
        <w:t>(última consulta: 08/10/16).</w:t>
      </w:r>
    </w:p>
  </w:footnote>
  <w:footnote w:id="6">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00C94CF6" w:rsidRPr="007E56DA">
        <w:rPr>
          <w:rFonts w:ascii="Times New Roman" w:eastAsia="Arial" w:hAnsi="Times New Roman" w:cs="Times New Roman"/>
          <w:color w:val="auto"/>
          <w:sz w:val="20"/>
          <w:szCs w:val="20"/>
        </w:rPr>
        <w:t xml:space="preserve">Estamos posicionándonos </w:t>
      </w:r>
      <w:r w:rsidRPr="007E56DA">
        <w:rPr>
          <w:rFonts w:ascii="Times New Roman" w:eastAsia="Arial" w:hAnsi="Times New Roman" w:cs="Times New Roman"/>
          <w:color w:val="auto"/>
          <w:sz w:val="20"/>
          <w:szCs w:val="20"/>
        </w:rPr>
        <w:t>desde un enfoque de la comunicación que excede el estudio de los medios masivos y aborda los procesos de producción colectiva de sentido protagonizados por los sujetos en sus prácticas e instituciones, las diversas mediaciones significativas de la vida social (Barbero, 1981); de cultura –no sólo entendida en términos de industrias culturales-, vinculada con los sentidos compartidos que hacen posible la vida social, dan identidad a un grupo humano y posibilitan los intercambios, vinculada a las prácticas cotidianas y a procesos creativos, de trabajo (Margulis, 2014); y de política –no restringida a lucha por el control del aparato de Estado- como la dimensión presente en toda práctica que contribuye al refuerzo o cuestionamiento de determinadas relaciones de poder (Mouffe, 2011)</w:t>
      </w:r>
      <w:r w:rsidR="008939B8" w:rsidRPr="007E56DA">
        <w:rPr>
          <w:rFonts w:ascii="Times New Roman" w:eastAsia="Arial" w:hAnsi="Times New Roman" w:cs="Times New Roman"/>
          <w:color w:val="auto"/>
          <w:sz w:val="20"/>
          <w:szCs w:val="20"/>
        </w:rPr>
        <w:t>,</w:t>
      </w:r>
      <w:r w:rsidR="00C94CF6" w:rsidRPr="007E56DA">
        <w:rPr>
          <w:rFonts w:ascii="Times New Roman" w:eastAsia="Arial" w:hAnsi="Times New Roman" w:cs="Times New Roman"/>
          <w:color w:val="auto"/>
          <w:sz w:val="20"/>
          <w:szCs w:val="20"/>
        </w:rPr>
        <w:t xml:space="preserve"> (Segura y otros, 2016)</w:t>
      </w:r>
      <w:r w:rsidRPr="007E56DA">
        <w:rPr>
          <w:rFonts w:ascii="Times New Roman" w:eastAsia="Arial" w:hAnsi="Times New Roman" w:cs="Times New Roman"/>
          <w:color w:val="auto"/>
          <w:sz w:val="20"/>
          <w:szCs w:val="20"/>
        </w:rPr>
        <w:t xml:space="preserve">. </w:t>
      </w:r>
    </w:p>
  </w:footnote>
  <w:footnote w:id="7">
    <w:p w:rsidR="006216BB" w:rsidRPr="007E56DA" w:rsidRDefault="006216BB" w:rsidP="007D4F9C">
      <w:pPr>
        <w:pStyle w:val="Textonotapie"/>
        <w:jc w:val="both"/>
        <w:rPr>
          <w:rFonts w:ascii="Times New Roman" w:hAnsi="Times New Roman" w:cs="Times New Roman"/>
          <w:lang w:val="es-AR"/>
        </w:rPr>
      </w:pPr>
      <w:r w:rsidRPr="007E56DA">
        <w:rPr>
          <w:rStyle w:val="Refdenotaalpie"/>
          <w:rFonts w:ascii="Times New Roman" w:hAnsi="Times New Roman" w:cs="Times New Roman"/>
        </w:rPr>
        <w:footnoteRef/>
      </w:r>
      <w:r w:rsidRPr="007E56DA">
        <w:rPr>
          <w:rFonts w:ascii="Times New Roman" w:eastAsia="Arial" w:hAnsi="Times New Roman" w:cs="Times New Roman"/>
          <w:color w:val="auto"/>
        </w:rPr>
        <w:t>Nuestra manera de comprender el derecho y las políticas públicas nos lleva a poner en cuestión la alternativa que domina la discusión en el campo de la ciencia jurídica entre el formalismo, que postula la autonomía de la forma jurídica con respecto al mundo social y el instrumentalismo, que comprende el derecho como reflejo o instrumento al servicio de los dominadores (Bourdieu, 1987: 155- 156. En Teubner y Bourdieu, 2000). Reconocer la autonomía relativa del derecho implica admitir su doble determinación: “por la lógica interna de las acciones jurídicas que limitan en cada momento el espacio de lo posible y con ello, el universo de soluciones propiamente jurídicas” (Ibídem: 159), y por las relaciones de fuerza específica que le confieren su estructura y orientan sus conflictos en los que intervienen diversos actores sociales desde diferentes posiciones de poder y con distintos intereses y recursos.</w:t>
      </w:r>
    </w:p>
  </w:footnote>
  <w:footnote w:id="8">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En el trabajo nos refer</w:t>
      </w:r>
      <w:r w:rsidR="00DC49A2" w:rsidRPr="007E56DA">
        <w:rPr>
          <w:rFonts w:ascii="Times New Roman" w:hAnsi="Times New Roman" w:cs="Times New Roman"/>
          <w:color w:val="auto"/>
          <w:sz w:val="20"/>
          <w:szCs w:val="20"/>
        </w:rPr>
        <w:t>iremos a la t</w:t>
      </w:r>
      <w:r w:rsidRPr="007E56DA">
        <w:rPr>
          <w:rFonts w:ascii="Times New Roman" w:hAnsi="Times New Roman" w:cs="Times New Roman"/>
          <w:color w:val="auto"/>
          <w:sz w:val="20"/>
          <w:szCs w:val="20"/>
        </w:rPr>
        <w:t xml:space="preserve">rata de personas y asistencia a sus víctimas, </w:t>
      </w:r>
      <w:r w:rsidR="00FC1CB0" w:rsidRPr="007E56DA">
        <w:rPr>
          <w:rFonts w:ascii="Times New Roman" w:hAnsi="Times New Roman" w:cs="Times New Roman"/>
          <w:color w:val="auto"/>
          <w:sz w:val="20"/>
          <w:szCs w:val="20"/>
        </w:rPr>
        <w:t>empleando</w:t>
      </w:r>
      <w:r w:rsidRPr="007E56DA">
        <w:rPr>
          <w:rFonts w:ascii="Times New Roman" w:hAnsi="Times New Roman" w:cs="Times New Roman"/>
          <w:color w:val="auto"/>
          <w:sz w:val="20"/>
          <w:szCs w:val="20"/>
        </w:rPr>
        <w:t xml:space="preserve"> el término “</w:t>
      </w:r>
      <w:r w:rsidR="00DC49A2" w:rsidRPr="007E56DA">
        <w:rPr>
          <w:rFonts w:ascii="Times New Roman" w:hAnsi="Times New Roman" w:cs="Times New Roman"/>
          <w:color w:val="auto"/>
          <w:sz w:val="20"/>
          <w:szCs w:val="20"/>
        </w:rPr>
        <w:t>t</w:t>
      </w:r>
      <w:r w:rsidRPr="007E56DA">
        <w:rPr>
          <w:rFonts w:ascii="Times New Roman" w:hAnsi="Times New Roman" w:cs="Times New Roman"/>
          <w:color w:val="auto"/>
          <w:sz w:val="20"/>
          <w:szCs w:val="20"/>
        </w:rPr>
        <w:t xml:space="preserve">rata de personas” con el solo objetivo de simplificar la lectura. </w:t>
      </w:r>
    </w:p>
  </w:footnote>
  <w:footnote w:id="9">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Así es como P. Bourdieu lo define en </w:t>
      </w:r>
      <w:r w:rsidRPr="007E56DA">
        <w:rPr>
          <w:rFonts w:ascii="Times New Roman" w:eastAsia="Arial" w:hAnsi="Times New Roman" w:cs="Times New Roman"/>
          <w:i/>
          <w:color w:val="auto"/>
          <w:sz w:val="20"/>
          <w:szCs w:val="20"/>
        </w:rPr>
        <w:t>Homo academicus</w:t>
      </w:r>
      <w:r w:rsidRPr="007E56DA">
        <w:rPr>
          <w:rFonts w:ascii="Times New Roman" w:eastAsia="Arial" w:hAnsi="Times New Roman" w:cs="Times New Roman"/>
          <w:color w:val="auto"/>
          <w:sz w:val="20"/>
          <w:szCs w:val="20"/>
        </w:rPr>
        <w:t xml:space="preserve"> (1984: 34), citado en Costa y Mozejko, 2009: 10 y 23. </w:t>
      </w:r>
    </w:p>
  </w:footnote>
  <w:footnote w:id="10">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El modo en que Pierre Bourdieu (1991) conceptualiza al </w:t>
      </w:r>
      <w:r w:rsidRPr="007E56DA">
        <w:rPr>
          <w:rFonts w:ascii="Times New Roman" w:eastAsia="Arial" w:hAnsi="Times New Roman" w:cs="Times New Roman"/>
          <w:i/>
          <w:color w:val="auto"/>
          <w:sz w:val="20"/>
          <w:szCs w:val="20"/>
        </w:rPr>
        <w:t xml:space="preserve">habitus </w:t>
      </w:r>
      <w:r w:rsidRPr="007E56DA">
        <w:rPr>
          <w:rFonts w:ascii="Times New Roman" w:eastAsia="Arial" w:hAnsi="Times New Roman" w:cs="Times New Roman"/>
          <w:color w:val="auto"/>
          <w:sz w:val="20"/>
          <w:szCs w:val="20"/>
        </w:rPr>
        <w:t xml:space="preserve">es un aporte central en este sentido.  </w:t>
      </w:r>
    </w:p>
  </w:footnote>
  <w:footnote w:id="11">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Se recupera aquí el modo como Michel de Certeau acentúa el papel activo del agente, especialmente en </w:t>
      </w:r>
      <w:r w:rsidRPr="007E56DA">
        <w:rPr>
          <w:rFonts w:ascii="Times New Roman" w:eastAsia="Arial" w:hAnsi="Times New Roman" w:cs="Times New Roman"/>
          <w:i/>
          <w:color w:val="auto"/>
          <w:sz w:val="20"/>
          <w:szCs w:val="20"/>
        </w:rPr>
        <w:t xml:space="preserve">La invención de lo cotidiano </w:t>
      </w:r>
      <w:r w:rsidRPr="007E56DA">
        <w:rPr>
          <w:rFonts w:ascii="Times New Roman" w:eastAsia="Arial" w:hAnsi="Times New Roman" w:cs="Times New Roman"/>
          <w:color w:val="auto"/>
          <w:sz w:val="20"/>
          <w:szCs w:val="20"/>
        </w:rPr>
        <w:t>(1996).</w:t>
      </w:r>
    </w:p>
  </w:footnote>
  <w:footnote w:id="12">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Costa y Mozejko destacan esta diferencia central respecto de algunas orientaciones de la Teoría de la Acción Racional (2001: 32 y ss.). Hablar, en cambio, de “intencionalidad” nos permite evitar la noción de “intención” en tanto ésta es percibida como voluntaria y consciente. </w:t>
      </w:r>
    </w:p>
  </w:footnote>
  <w:footnote w:id="13">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Weber (1969) decía que sólo ocasionalmente se eleva a conciencia el sentido de la acción (Costa y Mozejko, 2009: 26).</w:t>
      </w:r>
    </w:p>
  </w:footnote>
  <w:footnote w:id="1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Aquí no empleamos, por lo tanto, la noción de coherencia para referirnos, como es frecuente en un uso cotidiano del término, a la invariabilidad de las opiniones o visiones sostenidas, y las de un agente a lo largo del tiempo.</w:t>
      </w:r>
    </w:p>
  </w:footnote>
  <w:footnote w:id="15">
    <w:p w:rsidR="007D4F9C" w:rsidRPr="007E56DA" w:rsidRDefault="007D4F9C" w:rsidP="007D4F9C">
      <w:pPr>
        <w:pStyle w:val="Textonotapie"/>
        <w:jc w:val="both"/>
        <w:rPr>
          <w:rFonts w:ascii="Times New Roman" w:hAnsi="Times New Roman" w:cs="Times New Roman"/>
          <w:lang w:val="es-AR"/>
        </w:rPr>
      </w:pPr>
      <w:r w:rsidRPr="007E56DA">
        <w:rPr>
          <w:rStyle w:val="Refdenotaalpie"/>
          <w:rFonts w:ascii="Times New Roman" w:hAnsi="Times New Roman" w:cs="Times New Roman"/>
        </w:rPr>
        <w:footnoteRef/>
      </w:r>
      <w:r w:rsidRPr="007E56DA">
        <w:rPr>
          <w:rFonts w:ascii="Times New Roman" w:hAnsi="Times New Roman" w:cs="Times New Roman"/>
        </w:rPr>
        <w:t xml:space="preserve"> Si bien se recuperan algunas características, en este artículo n</w:t>
      </w:r>
      <w:r w:rsidRPr="007E56DA">
        <w:rPr>
          <w:rFonts w:ascii="Times New Roman" w:hAnsi="Times New Roman" w:cs="Times New Roman"/>
          <w:lang w:val="es-AR"/>
        </w:rPr>
        <w:t xml:space="preserve">o profundizamos la relación entre los entramados institucionales de las organizaciones y sus estrategias. </w:t>
      </w:r>
    </w:p>
  </w:footnote>
  <w:footnote w:id="16">
    <w:p w:rsidR="007C6167" w:rsidRPr="007E56DA" w:rsidRDefault="007C6167" w:rsidP="007D4F9C">
      <w:pPr>
        <w:pStyle w:val="Textonotapie"/>
        <w:jc w:val="both"/>
        <w:rPr>
          <w:rFonts w:ascii="Times New Roman" w:hAnsi="Times New Roman" w:cs="Times New Roman"/>
          <w:lang w:val="es-AR"/>
        </w:rPr>
      </w:pPr>
      <w:r w:rsidRPr="007E56DA">
        <w:rPr>
          <w:rStyle w:val="Refdenotaalpie"/>
          <w:rFonts w:ascii="Times New Roman" w:hAnsi="Times New Roman" w:cs="Times New Roman"/>
        </w:rPr>
        <w:footnoteRef/>
      </w:r>
      <w:r w:rsidRPr="007E56DA">
        <w:rPr>
          <w:rFonts w:ascii="Times New Roman" w:hAnsi="Times New Roman" w:cs="Times New Roman"/>
        </w:rPr>
        <w:t xml:space="preserve"> Retomamos la expresión en el sentido que la emplea P. Bourdieu en </w:t>
      </w:r>
      <w:r w:rsidRPr="007E56DA">
        <w:rPr>
          <w:rFonts w:ascii="Times New Roman" w:hAnsi="Times New Roman" w:cs="Times New Roman"/>
          <w:i/>
        </w:rPr>
        <w:t>Las reglas del arte</w:t>
      </w:r>
      <w:r w:rsidRPr="007E56DA">
        <w:rPr>
          <w:rFonts w:ascii="Times New Roman" w:hAnsi="Times New Roman" w:cs="Times New Roman"/>
        </w:rPr>
        <w:t xml:space="preserve"> (1995: 159).</w:t>
      </w:r>
    </w:p>
  </w:footnote>
  <w:footnote w:id="17">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Solicitada “Por una justicia legítima” y sus firmantes: </w:t>
      </w:r>
      <w:hyperlink r:id="rId3" w:history="1">
        <w:r w:rsidRPr="007E56DA">
          <w:rPr>
            <w:rStyle w:val="Hipervnculo"/>
            <w:rFonts w:ascii="Times New Roman" w:eastAsia="Arial" w:hAnsi="Times New Roman" w:cs="Times New Roman"/>
            <w:sz w:val="20"/>
            <w:szCs w:val="20"/>
          </w:rPr>
          <w:t>http://www.cij.gov.ar/nota-10467-Pronunciamiento-de-jueces--defensores--fiscales-y-funcionarios.html</w:t>
        </w:r>
      </w:hyperlink>
    </w:p>
  </w:footnote>
  <w:footnote w:id="18">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Mencionamos solamente a algunos de ellos: María Laura Garrigós de Rébori, Jueza de Cámara en la Cámara Nacional de apelaciones en lo criminal y correccional de la Capital Federal, desde 2005, socia fundadora de la Asociación de Mujeres Jueces de Argentina. Jorge Eduardo Auat, Fiscal a cargo de la Procuradoría de Crímenes contra la Humanidad, de la Procuradoría General de la Nación. Alejandra Gils Carbó, en 2004 fue designada fiscal general de la Cámara de Apelaciones en lo Comercial, propuesta en junio de 2012 por el PEN para desempeñarse como Procuradora General de la Nación tras la renuncia de Esteban Righi a dicho cargo. Alejandro Walter Slokar, juez de Casación Penal. Félix Pablo Crous, al frente de la Procuraduría Adjunta de Narcocriminalidad desde febrero de 2013. </w:t>
      </w:r>
    </w:p>
  </w:footnote>
  <w:footnote w:id="19">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Es el caso, por ejemplo, de Javier de Luca, Fiscal ante la Cámara Federal de Casación Penal y profesor titular de la cátedra de Derecho Penal de la UBA; Alejandro Alagia, Profesor Titular de Derecho Penal UBA y Fiscal en causas por Crímenes de Lesa Humanidad; Jorge Daniel Candis, profesor de Derecho del Trabajo y de Derecho Civil en la Universidad de Lomas de Zamora, Juez del Tribunal de trabajo número 2 de Lanús. En 2014 sería designado por parte del Consejo Interuniversitario Nacional (CIN) como representante del estamento académico en el Consejo de la Magistratura de la Nación (</w:t>
      </w:r>
      <w:hyperlink r:id="rId4" w:history="1">
        <w:r w:rsidRPr="007E56DA">
          <w:rPr>
            <w:rStyle w:val="Hipervnculo"/>
            <w:rFonts w:ascii="Times New Roman" w:eastAsia="Arial" w:hAnsi="Times New Roman" w:cs="Times New Roman"/>
            <w:sz w:val="20"/>
            <w:szCs w:val="20"/>
          </w:rPr>
          <w:t>http://www.pagina12.com.ar/diario/elpais/1-256730-2014-10-03.html</w:t>
        </w:r>
      </w:hyperlink>
      <w:r w:rsidRPr="007E56DA">
        <w:rPr>
          <w:rFonts w:ascii="Times New Roman" w:eastAsia="Arial" w:hAnsi="Times New Roman" w:cs="Times New Roman"/>
          <w:color w:val="auto"/>
          <w:sz w:val="20"/>
          <w:szCs w:val="20"/>
        </w:rPr>
        <w:t xml:space="preserve">); Daniel Erbetta, </w:t>
      </w:r>
      <w:r w:rsidRPr="007E56DA">
        <w:rPr>
          <w:rFonts w:ascii="Times New Roman" w:eastAsia="Arial" w:hAnsi="Times New Roman" w:cs="Times New Roman"/>
          <w:color w:val="auto"/>
          <w:sz w:val="20"/>
          <w:szCs w:val="20"/>
          <w:highlight w:val="white"/>
        </w:rPr>
        <w:t>Juez integrante de la Corte Suprema de Justicia santafesina y profesor de derecho penal (</w:t>
      </w:r>
      <w:hyperlink r:id="rId5" w:history="1">
        <w:r w:rsidRPr="007E56DA">
          <w:rPr>
            <w:rStyle w:val="Hipervnculo"/>
            <w:rFonts w:ascii="Times New Roman" w:eastAsia="Arial" w:hAnsi="Times New Roman" w:cs="Times New Roman"/>
            <w:sz w:val="20"/>
            <w:szCs w:val="20"/>
          </w:rPr>
          <w:t>http://www.mdzol.com/entrevista/562595/</w:t>
        </w:r>
      </w:hyperlink>
      <w:r w:rsidRPr="007E56DA">
        <w:rPr>
          <w:rFonts w:ascii="Times New Roman" w:eastAsia="Arial" w:hAnsi="Times New Roman" w:cs="Times New Roman"/>
          <w:color w:val="auto"/>
          <w:sz w:val="20"/>
          <w:szCs w:val="20"/>
          <w:highlight w:val="white"/>
        </w:rPr>
        <w:t>).</w:t>
      </w:r>
    </w:p>
  </w:footnote>
  <w:footnote w:id="20">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Convoca a trabajadores judiciales, ciudadanos comunes y actores de otros ámbitos y disciplinas. Algunos de los organismos civiles que acompañan y apoyan a “Justicia Legítima” son el CELS, Inecip, CIPCE y Abuelas de Plaza de Mayo, representantes de fábricas recuperadas, movimientos campesinos, pueblos originarios y de la comunidad homosexual argentina, entre otros.</w:t>
      </w:r>
    </w:p>
  </w:footnote>
  <w:footnote w:id="21">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“Por una justicia con los ojos abiertos”, por Marta Vasallo, en</w:t>
      </w:r>
      <w:r w:rsidRPr="007E56DA">
        <w:rPr>
          <w:rFonts w:ascii="Times New Roman" w:eastAsia="Arial" w:hAnsi="Times New Roman" w:cs="Times New Roman"/>
          <w:i/>
          <w:color w:val="auto"/>
          <w:sz w:val="20"/>
          <w:szCs w:val="20"/>
        </w:rPr>
        <w:t xml:space="preserve"> Le Monde Diplomatique</w:t>
      </w:r>
      <w:r w:rsidRPr="007E56DA">
        <w:rPr>
          <w:rFonts w:ascii="Times New Roman" w:eastAsia="Arial" w:hAnsi="Times New Roman" w:cs="Times New Roman"/>
          <w:color w:val="auto"/>
          <w:sz w:val="20"/>
          <w:szCs w:val="20"/>
        </w:rPr>
        <w:t xml:space="preserve"> Nº 167, Mayo 2013, disponible en: </w:t>
      </w:r>
      <w:hyperlink r:id="rId6" w:history="1">
        <w:r w:rsidRPr="007E56DA">
          <w:rPr>
            <w:rStyle w:val="Hipervnculo"/>
            <w:rFonts w:ascii="Times New Roman" w:eastAsia="Arial" w:hAnsi="Times New Roman" w:cs="Times New Roman"/>
            <w:sz w:val="20"/>
            <w:szCs w:val="20"/>
          </w:rPr>
          <w:t>http://www.eldiplo.org/index.php/archivo/167-kirchnerismo-balance-de-una-decada/por-una-justicia-con-los-ojos-abiertos/</w:t>
        </w:r>
      </w:hyperlink>
      <w:r w:rsidRPr="007E56DA">
        <w:rPr>
          <w:rFonts w:ascii="Times New Roman" w:eastAsia="Arial" w:hAnsi="Times New Roman" w:cs="Times New Roman"/>
          <w:color w:val="auto"/>
          <w:sz w:val="20"/>
          <w:szCs w:val="20"/>
        </w:rPr>
        <w:t>(Acceso por suscripción. Última consulta: 11/10/16).</w:t>
      </w:r>
    </w:p>
  </w:footnote>
  <w:footnote w:id="22">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María de los Ángeles Verón, conocida como Marita. </w:t>
      </w:r>
    </w:p>
  </w:footnote>
  <w:footnote w:id="23">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Orcel, Mathieu (Director) (2015) Canal Encuentro. KÔN SUD Productions, La Cuisine Aux Images e Y.N. Productions y el Instituto Nacional de Cine y Artes Audiovisuales (INCAA), para el canal francés Planète + CI y Ministerio de Educación de la Nación. Video. Cuerpo a Cuerpo. El caso Marita Verón. Recuperado</w:t>
      </w:r>
      <w:hyperlink r:id="rId7"/>
      <w:hyperlink r:id="rId8" w:history="1">
        <w:r w:rsidRPr="007E56DA">
          <w:rPr>
            <w:rStyle w:val="Hipervnculo"/>
            <w:rFonts w:ascii="Times New Roman" w:hAnsi="Times New Roman" w:cs="Times New Roman"/>
            <w:sz w:val="20"/>
            <w:szCs w:val="20"/>
          </w:rPr>
          <w:t>http://www.encuentro.gob.ar/sitios/encuentro/programas/ver?rec_id=12889</w:t>
        </w:r>
      </w:hyperlink>
    </w:p>
  </w:footnote>
  <w:footnote w:id="2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Times New Roman" w:hAnsi="Times New Roman" w:cs="Times New Roman"/>
          <w:color w:val="auto"/>
          <w:sz w:val="20"/>
          <w:szCs w:val="20"/>
        </w:rPr>
        <w:t>Cacopard, Ana. Historias Debidas. Canal Encuentro. Ministerio de Educación, Ciencia y Tecnología de la Nación. Recuperado</w:t>
      </w:r>
      <w:hyperlink r:id="rId9"/>
      <w:hyperlink r:id="rId10" w:history="1">
        <w:r w:rsidRPr="007E56DA">
          <w:rPr>
            <w:rStyle w:val="Hipervnculo"/>
            <w:rFonts w:ascii="Times New Roman" w:eastAsia="Times New Roman" w:hAnsi="Times New Roman" w:cs="Times New Roman"/>
            <w:sz w:val="20"/>
            <w:szCs w:val="20"/>
          </w:rPr>
          <w:t>http://www.encuentro.gov.ar/sitios/encuentro/programas/ver?rec_id=11320</w:t>
        </w:r>
        <w:r w:rsidRPr="007E56DA">
          <w:rPr>
            <w:rStyle w:val="Hipervnculo"/>
            <w:rFonts w:ascii="Times New Roman" w:hAnsi="Times New Roman" w:cs="Times New Roman"/>
            <w:sz w:val="20"/>
            <w:szCs w:val="20"/>
          </w:rPr>
          <w:t>6</w:t>
        </w:r>
      </w:hyperlink>
    </w:p>
  </w:footnote>
  <w:footnote w:id="25">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N. Kirchner aportó los fondos iniciales para que la FMA obtuviera personería jurídica.</w:t>
      </w:r>
    </w:p>
  </w:footnote>
  <w:footnote w:id="26">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El gobierno de la ciudad de Buenos Aires le cede una departamento para la sede en CABA</w:t>
      </w:r>
    </w:p>
  </w:footnote>
  <w:footnote w:id="27">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Algunas aportes del sector gubernamental.  Luego de que Néstor Kirchner  mantuviera una entrevista con Susana Trimarco, el presidente decide solventar los gastos que pudiera tener la familia Verón en relación a la investigación y otras  necesidades elementales (Vallejos, 2013: 74). También recibió aportes del gobierno de Tucumán para abrir la sede de la FMA en la capital tucumana. Otro ejemplo de ayuda gubernamental fue el otorgado por el gobierno de la ciudad de Buenos Aires, a través de la vice María Eugenia Vidal cede a la FMA en comodato una vivienda, donde funciona actualmente la sede de la Fundación María de los Ángeles en CABA. </w:t>
      </w:r>
    </w:p>
  </w:footnote>
  <w:footnote w:id="28">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Una alianza importante la efectuó con FADEEAC (Federación Argentina de Entidades Empresarias del Autotransporte de Cargas) para sensibilizar a choferes de camiones en el tema de la trata de personas.</w:t>
      </w:r>
    </w:p>
  </w:footnote>
  <w:footnote w:id="29">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Al</w:t>
      </w:r>
      <w:r w:rsidRPr="007E56DA">
        <w:rPr>
          <w:rFonts w:ascii="Times New Roman" w:eastAsia="Arial" w:hAnsi="Times New Roman" w:cs="Times New Roman"/>
          <w:color w:val="auto"/>
          <w:sz w:val="20"/>
          <w:szCs w:val="20"/>
        </w:rPr>
        <w:t xml:space="preserve"> momento de la desaparición de Marita, Tobar era Jefe de Criminalística de la policía de Tucumán. Se constituyó en un aliado clave. Al ponerse al frente de la investigación, recorrió prostíbulos junto a los Verón, informaba a los medios de prensa sobre los avances en la investigación, entre otras acciones. </w:t>
      </w:r>
      <w:r w:rsidRPr="007E56DA">
        <w:rPr>
          <w:rFonts w:ascii="Times New Roman" w:eastAsia="Times New Roman" w:hAnsi="Times New Roman" w:cs="Times New Roman"/>
          <w:color w:val="auto"/>
          <w:sz w:val="20"/>
          <w:szCs w:val="20"/>
        </w:rPr>
        <w:t xml:space="preserve">Cacopard, Ana. </w:t>
      </w:r>
      <w:r w:rsidRPr="007E56DA">
        <w:rPr>
          <w:rFonts w:ascii="Times New Roman" w:eastAsia="Times New Roman" w:hAnsi="Times New Roman" w:cs="Times New Roman"/>
          <w:i/>
          <w:color w:val="auto"/>
          <w:sz w:val="20"/>
          <w:szCs w:val="20"/>
        </w:rPr>
        <w:t>Historias Debidas</w:t>
      </w:r>
      <w:r w:rsidRPr="007E56DA">
        <w:rPr>
          <w:rFonts w:ascii="Times New Roman" w:eastAsia="Times New Roman" w:hAnsi="Times New Roman" w:cs="Times New Roman"/>
          <w:color w:val="auto"/>
          <w:sz w:val="20"/>
          <w:szCs w:val="20"/>
        </w:rPr>
        <w:t>. Canal Encuentro. Ministerio de Educación, Ciencia y Tecnología de la Nación. Recuperado</w:t>
      </w:r>
      <w:hyperlink r:id="rId11"/>
      <w:r w:rsidRPr="007E56DA">
        <w:rPr>
          <w:rFonts w:ascii="Times New Roman" w:hAnsi="Times New Roman" w:cs="Times New Roman"/>
          <w:color w:val="auto"/>
          <w:sz w:val="20"/>
          <w:szCs w:val="20"/>
        </w:rPr>
        <w:t xml:space="preserve">en. </w:t>
      </w:r>
      <w:hyperlink r:id="rId12" w:history="1">
        <w:r w:rsidRPr="007E56DA">
          <w:rPr>
            <w:rStyle w:val="Hipervnculo"/>
            <w:rFonts w:ascii="Times New Roman" w:eastAsia="Times New Roman" w:hAnsi="Times New Roman" w:cs="Times New Roman"/>
            <w:sz w:val="20"/>
            <w:szCs w:val="20"/>
          </w:rPr>
          <w:t>http://www.encuentro.gov.ar/sitios/encuentro/programas/ver?rec_id=113206</w:t>
        </w:r>
      </w:hyperlink>
    </w:p>
  </w:footnote>
  <w:footnote w:id="30">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Recorría prostíbulos junto a los Verón, daba testimonios a la prensa sobre el caso entre otras manifestaciones que denotan actividad en el caso. El mismo Tobar lo relata en </w:t>
      </w:r>
      <w:r w:rsidRPr="007E56DA">
        <w:rPr>
          <w:rFonts w:ascii="Times New Roman" w:eastAsia="Times New Roman" w:hAnsi="Times New Roman" w:cs="Times New Roman"/>
          <w:color w:val="auto"/>
          <w:sz w:val="20"/>
          <w:szCs w:val="20"/>
        </w:rPr>
        <w:t>Cacopard, Ana. Historias Debidas. Canal Encuentro. Ministerio de Educación, Ciencia y Tecnología de la Nación. Recuperado</w:t>
      </w:r>
      <w:hyperlink r:id="rId13"/>
      <w:hyperlink r:id="rId14" w:history="1">
        <w:r w:rsidRPr="007E56DA">
          <w:rPr>
            <w:rStyle w:val="Hipervnculo"/>
            <w:rFonts w:ascii="Times New Roman" w:eastAsia="Times New Roman" w:hAnsi="Times New Roman" w:cs="Times New Roman"/>
            <w:sz w:val="20"/>
            <w:szCs w:val="20"/>
          </w:rPr>
          <w:t>http://www.encuentro.gov.ar/sitios/encuentro/programas/ver?rec_id=113206</w:t>
        </w:r>
      </w:hyperlink>
    </w:p>
  </w:footnote>
  <w:footnote w:id="31">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En declaraciones periodísticas J. Tobar realizaba críticas muy fuertes a sus superiores y al propio jefe de policía de la provincia de Tucumán. Documental en Orcel, Mathieu (Director) (2015) Canal Encuentro. KÔN SUD Productions, La Cuisine Aux Images e Y.N. Productions y el Instituto Nacional de Cine y Artes Audiovisuales (INCAA), para el canal francés Planète + CI y Ministerio de Educación de la Nación. Video. Cuerpo a Cuerpo. El caso Marita Verón. Recuperado</w:t>
      </w:r>
      <w:hyperlink r:id="rId15"/>
      <w:hyperlink r:id="rId16" w:history="1">
        <w:r w:rsidRPr="007E56DA">
          <w:rPr>
            <w:rStyle w:val="Hipervnculo"/>
            <w:rFonts w:ascii="Times New Roman" w:hAnsi="Times New Roman" w:cs="Times New Roman"/>
            <w:sz w:val="20"/>
            <w:szCs w:val="20"/>
          </w:rPr>
          <w:t>http://www.encuentro.gob.ar/sitios/encuentro/programas/ver?rec_id=12889</w:t>
        </w:r>
      </w:hyperlink>
      <w:r w:rsidRPr="007E56DA">
        <w:rPr>
          <w:rFonts w:ascii="Times New Roman" w:hAnsi="Times New Roman" w:cs="Times New Roman"/>
          <w:color w:val="auto"/>
          <w:sz w:val="20"/>
          <w:szCs w:val="20"/>
        </w:rPr>
        <w:t xml:space="preserve">. En testimonios audiovisuales también explicitaba críticas a la institución policial. Milstein P.; Ludin N. (2009) </w:t>
      </w:r>
      <w:r w:rsidRPr="007E56DA">
        <w:rPr>
          <w:rFonts w:ascii="Times New Roman" w:hAnsi="Times New Roman" w:cs="Times New Roman"/>
          <w:i/>
          <w:color w:val="auto"/>
          <w:sz w:val="20"/>
          <w:szCs w:val="20"/>
        </w:rPr>
        <w:t>“Fragmentos de una búsqueda”</w:t>
      </w:r>
      <w:r w:rsidRPr="007E56DA">
        <w:rPr>
          <w:rFonts w:ascii="Times New Roman" w:hAnsi="Times New Roman" w:cs="Times New Roman"/>
          <w:color w:val="auto"/>
          <w:sz w:val="20"/>
          <w:szCs w:val="20"/>
        </w:rPr>
        <w:t>. Documental. Recuperado en</w:t>
      </w:r>
      <w:hyperlink r:id="rId17"/>
      <w:hyperlink r:id="rId18" w:history="1">
        <w:r w:rsidRPr="007E56DA">
          <w:rPr>
            <w:rStyle w:val="Hipervnculo"/>
            <w:rFonts w:ascii="Times New Roman" w:hAnsi="Times New Roman" w:cs="Times New Roman"/>
            <w:sz w:val="20"/>
            <w:szCs w:val="20"/>
          </w:rPr>
          <w:t>https://www.youtube.com/watch?v=GRp7qguJX_A</w:t>
        </w:r>
      </w:hyperlink>
    </w:p>
  </w:footnote>
  <w:footnote w:id="32">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Diario Página 12. (2005) </w:t>
      </w:r>
      <w:r w:rsidRPr="007E56DA">
        <w:rPr>
          <w:rFonts w:ascii="Times New Roman" w:hAnsi="Times New Roman" w:cs="Times New Roman"/>
          <w:i/>
          <w:color w:val="auto"/>
          <w:sz w:val="20"/>
          <w:szCs w:val="20"/>
        </w:rPr>
        <w:t>Las mujeres se venden como ganado.</w:t>
      </w:r>
      <w:r w:rsidRPr="007E56DA">
        <w:rPr>
          <w:rFonts w:ascii="Times New Roman" w:hAnsi="Times New Roman" w:cs="Times New Roman"/>
          <w:color w:val="auto"/>
          <w:sz w:val="20"/>
          <w:szCs w:val="20"/>
        </w:rPr>
        <w:t xml:space="preserve"> Recuperado en </w:t>
      </w:r>
      <w:hyperlink r:id="rId19" w:history="1">
        <w:r w:rsidRPr="007E56DA">
          <w:rPr>
            <w:rStyle w:val="Hipervnculo"/>
            <w:rFonts w:ascii="Times New Roman" w:hAnsi="Times New Roman" w:cs="Times New Roman"/>
            <w:sz w:val="20"/>
            <w:szCs w:val="20"/>
          </w:rPr>
          <w:t>http://www.pagina12.com.ar/diario/sociedad/3-49442-2005-04-07.html</w:t>
        </w:r>
      </w:hyperlink>
    </w:p>
  </w:footnote>
  <w:footnote w:id="33">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María Soledad Morales fue asesinada en Catamarca en el año 1990. Entre los implicados estuvieron los llamados “hijos del poder”, pertenecientes a la elite política de Catamarca, como fue el caso del condenado Guillermo Luque. Fue uno de los primeros casos con alto seguimiento mediático y televisación del juicio oral, lo que le representó alta visibilidad pública. </w:t>
      </w:r>
    </w:p>
  </w:footnote>
  <w:footnote w:id="3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Martha Pelloni era </w:t>
      </w:r>
      <w:r w:rsidR="00622585" w:rsidRPr="007E56DA">
        <w:rPr>
          <w:rFonts w:ascii="Times New Roman" w:hAnsi="Times New Roman" w:cs="Times New Roman"/>
          <w:color w:val="auto"/>
          <w:sz w:val="20"/>
          <w:szCs w:val="20"/>
        </w:rPr>
        <w:t>directora</w:t>
      </w:r>
      <w:r w:rsidRPr="007E56DA">
        <w:rPr>
          <w:rFonts w:ascii="Times New Roman" w:hAnsi="Times New Roman" w:cs="Times New Roman"/>
          <w:color w:val="auto"/>
          <w:sz w:val="20"/>
          <w:szCs w:val="20"/>
        </w:rPr>
        <w:t xml:space="preserve"> del Colegio del Carmen y San José donde había asistido María Soledad Morales. Durante el caso tuvo una participación activa: lideró marchas del silencio como reclamo de justicia, acompañó a los familiares de la víctima, </w:t>
      </w:r>
      <w:r w:rsidR="00622585" w:rsidRPr="007E56DA">
        <w:rPr>
          <w:rFonts w:ascii="Times New Roman" w:hAnsi="Times New Roman" w:cs="Times New Roman"/>
          <w:color w:val="auto"/>
          <w:sz w:val="20"/>
          <w:szCs w:val="20"/>
        </w:rPr>
        <w:t xml:space="preserve">organizó numerosas marchas, </w:t>
      </w:r>
      <w:r w:rsidRPr="007E56DA">
        <w:rPr>
          <w:rFonts w:ascii="Times New Roman" w:hAnsi="Times New Roman" w:cs="Times New Roman"/>
          <w:color w:val="auto"/>
          <w:sz w:val="20"/>
          <w:szCs w:val="20"/>
        </w:rPr>
        <w:t xml:space="preserve">tuvo una alta visibilidad pública en los medios y se convirtió </w:t>
      </w:r>
      <w:r w:rsidR="001D126D" w:rsidRPr="007E56DA">
        <w:rPr>
          <w:rFonts w:ascii="Times New Roman" w:hAnsi="Times New Roman" w:cs="Times New Roman"/>
          <w:color w:val="auto"/>
          <w:sz w:val="20"/>
          <w:szCs w:val="20"/>
        </w:rPr>
        <w:t>una fi</w:t>
      </w:r>
      <w:r w:rsidRPr="007E56DA">
        <w:rPr>
          <w:rFonts w:ascii="Times New Roman" w:hAnsi="Times New Roman" w:cs="Times New Roman"/>
          <w:color w:val="auto"/>
          <w:sz w:val="20"/>
          <w:szCs w:val="20"/>
        </w:rPr>
        <w:t>gura reconocida y legitimada</w:t>
      </w:r>
      <w:r w:rsidR="00622585" w:rsidRPr="007E56DA">
        <w:rPr>
          <w:rFonts w:ascii="Times New Roman" w:hAnsi="Times New Roman" w:cs="Times New Roman"/>
          <w:color w:val="auto"/>
          <w:sz w:val="20"/>
          <w:szCs w:val="20"/>
        </w:rPr>
        <w:t xml:space="preserve">como una </w:t>
      </w:r>
      <w:r w:rsidR="001D126D" w:rsidRPr="007E56DA">
        <w:rPr>
          <w:rFonts w:ascii="Times New Roman" w:hAnsi="Times New Roman" w:cs="Times New Roman"/>
          <w:color w:val="auto"/>
          <w:sz w:val="20"/>
          <w:szCs w:val="20"/>
        </w:rPr>
        <w:t>vocera del caso</w:t>
      </w:r>
      <w:r w:rsidRPr="007E56DA">
        <w:rPr>
          <w:rFonts w:ascii="Times New Roman" w:hAnsi="Times New Roman" w:cs="Times New Roman"/>
          <w:color w:val="auto"/>
          <w:sz w:val="20"/>
          <w:szCs w:val="20"/>
        </w:rPr>
        <w:t xml:space="preserve">. Posteriormente, Pelloni denunció casos similares al de María Soledad, pero también fue referente en temas de Trata y venta ilegal de niños. Desde el 2008 es Coordinadora General de la OSC Infancia Robada. </w:t>
      </w:r>
    </w:p>
  </w:footnote>
  <w:footnote w:id="35">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Diario Registrado. </w:t>
      </w:r>
      <w:r w:rsidRPr="007E56DA">
        <w:rPr>
          <w:rFonts w:ascii="Times New Roman" w:eastAsia="Cambria" w:hAnsi="Times New Roman" w:cs="Times New Roman"/>
          <w:i/>
          <w:color w:val="auto"/>
          <w:sz w:val="20"/>
          <w:szCs w:val="20"/>
        </w:rPr>
        <w:t xml:space="preserve">Trimarco: ''Todo cambió cuando pude hablar con Néstor''. </w:t>
      </w:r>
      <w:r w:rsidRPr="007E56DA">
        <w:rPr>
          <w:rFonts w:ascii="Times New Roman" w:hAnsi="Times New Roman" w:cs="Times New Roman"/>
          <w:color w:val="auto"/>
          <w:sz w:val="20"/>
          <w:szCs w:val="20"/>
        </w:rPr>
        <w:t xml:space="preserve">Recuperado en </w:t>
      </w:r>
      <w:hyperlink r:id="rId20" w:history="1">
        <w:r w:rsidRPr="007E56DA">
          <w:rPr>
            <w:rStyle w:val="Hipervnculo"/>
            <w:rFonts w:ascii="Times New Roman" w:hAnsi="Times New Roman" w:cs="Times New Roman"/>
            <w:sz w:val="20"/>
            <w:szCs w:val="20"/>
          </w:rPr>
          <w:t>http://www.diarioregistrado.com/politica/trimarco----todo-cambio-cuando-pude-hablar-con-nestor--_a56316a9742bd9ca81b19543f</w:t>
        </w:r>
      </w:hyperlink>
    </w:p>
  </w:footnote>
  <w:footnote w:id="36">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00932E8D" w:rsidRPr="007E56DA">
        <w:rPr>
          <w:rFonts w:ascii="Times New Roman" w:hAnsi="Times New Roman" w:cs="Times New Roman"/>
          <w:color w:val="auto"/>
          <w:sz w:val="20"/>
          <w:szCs w:val="20"/>
        </w:rPr>
        <w:t>P</w:t>
      </w:r>
      <w:r w:rsidRPr="007E56DA">
        <w:rPr>
          <w:rFonts w:ascii="Times New Roman" w:hAnsi="Times New Roman" w:cs="Times New Roman"/>
          <w:color w:val="auto"/>
          <w:sz w:val="20"/>
          <w:szCs w:val="20"/>
        </w:rPr>
        <w:t>olíticos</w:t>
      </w:r>
      <w:r w:rsidR="00E9709C" w:rsidRPr="007E56DA">
        <w:rPr>
          <w:rFonts w:ascii="Times New Roman" w:hAnsi="Times New Roman" w:cs="Times New Roman"/>
          <w:color w:val="auto"/>
          <w:sz w:val="20"/>
          <w:szCs w:val="20"/>
        </w:rPr>
        <w:t>,</w:t>
      </w:r>
      <w:r w:rsidR="0066341B" w:rsidRPr="007E56DA">
        <w:rPr>
          <w:rFonts w:ascii="Times New Roman" w:hAnsi="Times New Roman" w:cs="Times New Roman"/>
          <w:color w:val="auto"/>
          <w:sz w:val="20"/>
          <w:szCs w:val="20"/>
        </w:rPr>
        <w:t xml:space="preserve"> como el gobernador de Tucumán, </w:t>
      </w:r>
      <w:r w:rsidR="00E0392F" w:rsidRPr="007E56DA">
        <w:rPr>
          <w:rFonts w:ascii="Times New Roman" w:hAnsi="Times New Roman" w:cs="Times New Roman"/>
          <w:color w:val="auto"/>
          <w:sz w:val="20"/>
          <w:szCs w:val="20"/>
        </w:rPr>
        <w:t xml:space="preserve">José </w:t>
      </w:r>
      <w:r w:rsidR="0066341B" w:rsidRPr="007E56DA">
        <w:rPr>
          <w:rFonts w:ascii="Times New Roman" w:hAnsi="Times New Roman" w:cs="Times New Roman"/>
          <w:color w:val="auto"/>
          <w:sz w:val="20"/>
          <w:szCs w:val="20"/>
        </w:rPr>
        <w:t xml:space="preserve">Alperovich, </w:t>
      </w:r>
      <w:r w:rsidR="00E0392F" w:rsidRPr="007E56DA">
        <w:rPr>
          <w:rFonts w:ascii="Times New Roman" w:hAnsi="Times New Roman" w:cs="Times New Roman"/>
          <w:color w:val="auto"/>
          <w:sz w:val="20"/>
          <w:szCs w:val="20"/>
        </w:rPr>
        <w:t xml:space="preserve">y María Eugenia Vidal en CABA, </w:t>
      </w:r>
      <w:r w:rsidRPr="007E56DA">
        <w:rPr>
          <w:rFonts w:ascii="Times New Roman" w:hAnsi="Times New Roman" w:cs="Times New Roman"/>
          <w:color w:val="auto"/>
          <w:sz w:val="20"/>
          <w:szCs w:val="20"/>
        </w:rPr>
        <w:t xml:space="preserve">miembros de fuerzas de seguridad, religiosos y otras OSC. </w:t>
      </w:r>
    </w:p>
  </w:footnote>
  <w:footnote w:id="37">
    <w:p w:rsidR="006B20D6" w:rsidRPr="007E56DA" w:rsidRDefault="006B20D6" w:rsidP="007D4F9C">
      <w:pPr>
        <w:pStyle w:val="Normal10"/>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Uno de los más destacados fue el premio “Madre Coraje” que le otorgó el departamento de Estado del Gobierno de los Estados Unidos. Entre los nacionales, se ubican “Personalidad Destacada”, “Mujer Líder Emergente”, “Incansable Lucha Contra La Trata De Personas”, “Lucha Contra La Trata De Personas”, entre otros. Para mayor información sobre estos reconocimientos, ver </w:t>
      </w:r>
      <w:hyperlink r:id="rId21" w:history="1">
        <w:r w:rsidRPr="007E56DA">
          <w:rPr>
            <w:rStyle w:val="Hipervnculo"/>
            <w:rFonts w:ascii="Times New Roman" w:hAnsi="Times New Roman" w:cs="Times New Roman"/>
            <w:sz w:val="20"/>
            <w:szCs w:val="20"/>
          </w:rPr>
          <w:t>http://www.fundacionmariadelosangeles.org/susana-trimarco.htm</w:t>
        </w:r>
      </w:hyperlink>
    </w:p>
  </w:footnote>
  <w:footnote w:id="38">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Universidad Nacional de Río Cuarto, Universidad de Buenos Aires, Universidad Nacional de San Juan, Universidad de Salta. </w:t>
      </w:r>
    </w:p>
  </w:footnote>
  <w:footnote w:id="39">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Red PAR: Periodistas de Argentina en Red  por una comunicación no sexista, AMMAR, Las Juanas, entre otras. </w:t>
      </w:r>
    </w:p>
  </w:footnote>
  <w:footnote w:id="40">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Ministerio de Justicia y Derechos Humanos, OIM: Programa Nacional de Rescate, UFASE, Procuraduría de Trata y Explotación de Personas.</w:t>
      </w:r>
    </w:p>
  </w:footnote>
  <w:footnote w:id="41">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Organización de los Estados Americanos, Fundación Women in the World</w:t>
      </w:r>
    </w:p>
  </w:footnote>
  <w:footnote w:id="42">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Emitido el 19 de Noviembre del 2003 en el </w:t>
      </w:r>
      <w:r w:rsidRPr="007E56DA">
        <w:rPr>
          <w:rFonts w:ascii="Times New Roman" w:eastAsia="Arial" w:hAnsi="Times New Roman" w:cs="Times New Roman"/>
          <w:i/>
          <w:color w:val="auto"/>
          <w:sz w:val="20"/>
          <w:szCs w:val="20"/>
        </w:rPr>
        <w:t>prime time</w:t>
      </w:r>
      <w:r w:rsidRPr="007E56DA">
        <w:rPr>
          <w:rFonts w:ascii="Times New Roman" w:eastAsia="Arial" w:hAnsi="Times New Roman" w:cs="Times New Roman"/>
          <w:color w:val="auto"/>
          <w:sz w:val="20"/>
          <w:szCs w:val="20"/>
        </w:rPr>
        <w:t>. Conducido por María Laura Santillán. Canal 13 Artear.</w:t>
      </w:r>
    </w:p>
  </w:footnote>
  <w:footnote w:id="43">
    <w:p w:rsidR="00784334" w:rsidRPr="007E56DA" w:rsidRDefault="00784334" w:rsidP="007D4F9C">
      <w:pPr>
        <w:pStyle w:val="Normal1"/>
        <w:tabs>
          <w:tab w:val="left" w:pos="284"/>
        </w:tabs>
        <w:spacing w:after="0" w:line="240" w:lineRule="auto"/>
        <w:jc w:val="both"/>
        <w:rPr>
          <w:rFonts w:ascii="Times New Roman" w:eastAsia="Arial" w:hAnsi="Times New Roman" w:cs="Times New Roman"/>
          <w:color w:val="auto"/>
          <w:sz w:val="20"/>
          <w:szCs w:val="20"/>
        </w:rPr>
      </w:pPr>
      <w:r w:rsidRPr="007E56DA">
        <w:rPr>
          <w:rFonts w:ascii="Times New Roman" w:eastAsia="Arial"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Con periodistas como Sibila Camps y Luján Araujo, entre las más destacadas.</w:t>
      </w:r>
    </w:p>
  </w:footnote>
  <w:footnote w:id="4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Entre los que se destacan: Soledad Silveyra, Facundo Arana, Mónica Antonópulos, María Carámbula, solo por mencionar algunos. </w:t>
      </w:r>
    </w:p>
  </w:footnote>
  <w:footnote w:id="45">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Un ejemplo es el la producción de un Manual sobre el tratamiento que la prensa debe hacer sobre esclavitud sexual. “Decálogo para el tratamiento periodístico de la trata y la explotación sexual” Recuperado en línea:</w:t>
      </w:r>
      <w:r w:rsidR="002A73A5">
        <w:rPr>
          <w:rFonts w:ascii="Times New Roman" w:eastAsia="Arial" w:hAnsi="Times New Roman" w:cs="Times New Roman"/>
          <w:color w:val="auto"/>
          <w:sz w:val="20"/>
          <w:szCs w:val="20"/>
        </w:rPr>
        <w:t xml:space="preserve"> </w:t>
      </w:r>
      <w:hyperlink r:id="rId22" w:history="1">
        <w:r w:rsidRPr="007E56DA">
          <w:rPr>
            <w:rStyle w:val="Hipervnculo"/>
            <w:rFonts w:ascii="Times New Roman" w:eastAsia="Arial" w:hAnsi="Times New Roman" w:cs="Times New Roman"/>
            <w:sz w:val="20"/>
            <w:szCs w:val="20"/>
          </w:rPr>
          <w:t>http://www.fundacionmariadelosangeles.org/micrositios/delito-de-trata-de-personas/sibila-camps.pdf</w:t>
        </w:r>
      </w:hyperlink>
    </w:p>
  </w:footnote>
  <w:footnote w:id="46">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Se refiere a la Ley26.522deServiciosdeComunicación Audiovisual</w:t>
      </w:r>
      <w:r w:rsidRPr="007E56DA">
        <w:rPr>
          <w:rFonts w:ascii="Times New Roman" w:eastAsia="Arial" w:hAnsi="Times New Roman" w:cs="Times New Roman"/>
          <w:color w:val="auto"/>
          <w:sz w:val="20"/>
          <w:szCs w:val="20"/>
          <w:highlight w:val="white"/>
        </w:rPr>
        <w:t xml:space="preserve">. </w:t>
      </w:r>
    </w:p>
  </w:footnote>
  <w:footnote w:id="47">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En la era post- Menem (Cf. Kapiszewski, 2006) la justicia se encontraba acorralada por la inseguridad interpretada en su sentido estrictamente delictivo, donde el delito se reducía a delincuencia callejera. Podemos ver en Ganón (2008), Lvovich (2000), Cavallo (2002) entre otros un análisis del proceso de la crisis económica y social en Argentina desde la década del ’80; trasfondo de esta problemática. En este marco, las encuestas como por ejemplo las realizadas por el Latinobarómetro, indicaban que los niveles de desconfianza en la justicia llegaron al 90,40 % en 2002 (Giaquinta, 2012). Esta situación, espectacularizada en la escena mediática, puso a prueba la capacidad de dar respuestas del gobierno electo en 2003, cuando inició un proceso de reordenamiento institucional con el primer gobierno elegido con el voto popular después de la crisis de 2001. Asimismo, el eco del “que se vayan todos” de  la crisis social, económica y política que tuvo su punto culminante en los episodios de diciembre de 2001. Desde 2003, con Néstor Kirchner en el gobierno nacional emprende una reforma judicial, la cual inicia con los cambios en la constitución de la Corte Suprema de la Justicia de la Nación: la previa alineación entre los jueces y el presidente Menem durante los ’90, llevó a la convulsión de la Corte Suprema de Justicia la Nación y derivó en su rápido recambio. De la cuestionada “mayoría automática” menemista, para 2004, sólo quedaba el ministro Boggiano, quien fue suspendido en 2005.</w:t>
      </w:r>
    </w:p>
  </w:footnote>
  <w:footnote w:id="48">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El diario Clarín del 13/12/12 titulaba: “Repudios en todo el país por el fallo del caso Marita Verón”. Disponible en: </w:t>
      </w:r>
      <w:hyperlink r:id="rId23" w:history="1">
        <w:r w:rsidRPr="007E56DA">
          <w:rPr>
            <w:rStyle w:val="Hipervnculo"/>
            <w:rFonts w:ascii="Times New Roman" w:eastAsia="Arial" w:hAnsi="Times New Roman" w:cs="Times New Roman"/>
            <w:sz w:val="20"/>
            <w:szCs w:val="20"/>
          </w:rPr>
          <w:t>http://www.clarin.com/politica/Repudios-pais-fallo-Marita-Veron_0_827917233.htm</w:t>
        </w:r>
        <w:r w:rsidRPr="007E56DA">
          <w:rPr>
            <w:rStyle w:val="Hipervnculo"/>
            <w:rFonts w:ascii="Times New Roman" w:hAnsi="Times New Roman" w:cs="Times New Roman"/>
            <w:sz w:val="20"/>
            <w:szCs w:val="20"/>
          </w:rPr>
          <w:t>l</w:t>
        </w:r>
      </w:hyperlink>
    </w:p>
  </w:footnote>
  <w:footnote w:id="49">
    <w:p w:rsidR="006B20D6" w:rsidRPr="007E56DA" w:rsidRDefault="006B20D6" w:rsidP="007D4F9C">
      <w:pPr>
        <w:tabs>
          <w:tab w:val="left" w:pos="284"/>
        </w:tabs>
        <w:autoSpaceDE w:val="0"/>
        <w:autoSpaceDN w:val="0"/>
        <w:adjustRightInd w:val="0"/>
        <w:spacing w:after="0" w:line="240" w:lineRule="auto"/>
        <w:jc w:val="both"/>
        <w:rPr>
          <w:rFonts w:ascii="Times New Roman" w:hAnsi="Times New Roman" w:cs="Times New Roman"/>
          <w:sz w:val="20"/>
          <w:szCs w:val="20"/>
        </w:rPr>
      </w:pPr>
      <w:r w:rsidRPr="007E56DA">
        <w:rPr>
          <w:rStyle w:val="Refdenotaalpie"/>
          <w:rFonts w:ascii="Times New Roman" w:hAnsi="Times New Roman" w:cs="Times New Roman"/>
          <w:sz w:val="20"/>
          <w:szCs w:val="20"/>
        </w:rPr>
        <w:footnoteRef/>
      </w:r>
      <w:r w:rsidRPr="007E56DA">
        <w:rPr>
          <w:rFonts w:ascii="Times New Roman" w:hAnsi="Times New Roman" w:cs="Times New Roman"/>
          <w:sz w:val="20"/>
          <w:szCs w:val="20"/>
        </w:rPr>
        <w:t xml:space="preserve"> “Las reformas a la Corte Suprema iniciadas en 2003 no pueden entenderse sin la existencia de una demanda de amplios sectores sociales, canalizada (…) a través de una movilización masiva y constante desde finales de 2001 y durante varios meses de 2002 y de la elaboración de propuestas técnicas de reforma por parte de reconocidas asociaciones civiles” (2008: 737). El Poder Ejecutivo anunció que iniciaría un proceso de destitución de los jueces de la Corte y convocó al grupo de organizaciones que había presentado los documentos titulados “Una Corte para la democracia” I y II, en los cuales se presentaban sus propuestas de reforma. El entonces ministro de Justicia, Gustavo Béliz, se reunió con estas organizaciones y finalmente –y como consecuencia-, el decreto presidencial incluyó dichas propuestas (CELS, citado en Rubial, Ibidem: 738)</w:t>
      </w:r>
    </w:p>
  </w:footnote>
  <w:footnote w:id="50">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La Declaración y el Programa de Acción de Viena refuerzan la universalidad de los derechos humanos y la obligación de los Estados de acatarlos.</w:t>
      </w:r>
    </w:p>
  </w:footnote>
  <w:footnote w:id="51">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El protocolo apunta a prevenir, reprimir y sancionar la trata de personas, especialmente mujeres y niños, y es complementaria de la Convención de las Naciones Unidas contra la Delincuencia Organizada Transnacional. </w:t>
      </w:r>
    </w:p>
  </w:footnote>
  <w:footnote w:id="52">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Diario La Nación (2012) G. Carabajal. “</w:t>
      </w:r>
      <w:r w:rsidRPr="007E56DA">
        <w:rPr>
          <w:rFonts w:ascii="Times New Roman" w:eastAsia="Arial" w:hAnsi="Times New Roman" w:cs="Times New Roman"/>
          <w:i/>
          <w:color w:val="auto"/>
          <w:sz w:val="20"/>
          <w:szCs w:val="20"/>
        </w:rPr>
        <w:t>Dos décadas, más de 54.000 asesinatos”. N</w:t>
      </w:r>
      <w:r w:rsidRPr="007E56DA">
        <w:rPr>
          <w:rFonts w:ascii="Times New Roman" w:eastAsia="Arial" w:hAnsi="Times New Roman" w:cs="Times New Roman"/>
          <w:color w:val="auto"/>
          <w:sz w:val="20"/>
          <w:szCs w:val="20"/>
        </w:rPr>
        <w:t xml:space="preserve">ota recuperada en </w:t>
      </w:r>
      <w:hyperlink r:id="rId24" w:history="1">
        <w:r w:rsidRPr="007E56DA">
          <w:rPr>
            <w:rStyle w:val="Hipervnculo"/>
            <w:rFonts w:ascii="Times New Roman" w:eastAsia="Arial" w:hAnsi="Times New Roman" w:cs="Times New Roman"/>
            <w:sz w:val="20"/>
            <w:szCs w:val="20"/>
          </w:rPr>
          <w:t>http://www.lanacion.com.ar/1496589-dos-decadas-mas-de-54000-asesinatos</w:t>
        </w:r>
      </w:hyperlink>
      <w:r w:rsidRPr="007E56DA">
        <w:rPr>
          <w:rFonts w:ascii="Times New Roman" w:eastAsia="Arial" w:hAnsi="Times New Roman" w:cs="Times New Roman"/>
          <w:color w:val="auto"/>
          <w:sz w:val="20"/>
          <w:szCs w:val="20"/>
        </w:rPr>
        <w:t xml:space="preserve"> )</w:t>
      </w:r>
    </w:p>
  </w:footnote>
  <w:footnote w:id="53">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El caso del asesinato de Axel Blumberg fue difundido con intensidad durante el 2004, copando la escena política y mediática. Las multitudinarias marchas en reclamos de seguridad que encabezó su padre, Juan Carlos Blumberg en distintos puntos del país, promovieron el endurecimiento del Código Penal de la Nación a partir de un paquete de leyes, las llamadas “Leyes Blumberg”: la pena máxima se aumentó a 50 años de prisión, se aumentaron las penas para: robo con arma de fuego (incluso con arma de utilería), tenencia de armas sin autorización, abigeato, homicidio como consecuencia de un delito contra la integridad sexual. Además, se limitaron las excarcelaciones. Al mismo tiempo, la provincia de Buenos Aires introdujo otras modificaciones que debilitaron el debido proceso (</w:t>
      </w:r>
      <w:hyperlink r:id="rId25" w:history="1">
        <w:r w:rsidRPr="007E56DA">
          <w:rPr>
            <w:rStyle w:val="Hipervnculo"/>
            <w:rFonts w:ascii="Times New Roman" w:eastAsia="Arial" w:hAnsi="Times New Roman" w:cs="Times New Roman"/>
            <w:sz w:val="20"/>
            <w:szCs w:val="20"/>
          </w:rPr>
          <w:t>http://cels.org.ar/cronologia-de-la-mano-dura/</w:t>
        </w:r>
      </w:hyperlink>
      <w:r w:rsidRPr="007E56DA">
        <w:rPr>
          <w:rFonts w:ascii="Times New Roman" w:eastAsia="Arial" w:hAnsi="Times New Roman" w:cs="Times New Roman"/>
          <w:color w:val="auto"/>
          <w:sz w:val="20"/>
          <w:szCs w:val="20"/>
        </w:rPr>
        <w:t xml:space="preserve"> ).</w:t>
      </w:r>
    </w:p>
  </w:footnote>
  <w:footnote w:id="5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Tal como indica un Informe publicado por el Banco de Desarrollo de América Latina la Trata de Personas ha sido y es un crimen con baja visibilidad ya que las víctimas, no pueden promover denuncias a las autoridades pertinentes porque se encuentran amenazadas . </w:t>
      </w:r>
    </w:p>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eastAsia="Arial" w:hAnsi="Times New Roman" w:cs="Times New Roman"/>
          <w:color w:val="auto"/>
          <w:sz w:val="20"/>
          <w:szCs w:val="20"/>
        </w:rPr>
        <w:t>Banco de Desarrollo de América Latina. Reporte de Economía y Desarrollo (2012) Por una América Latina más segura. Una nueva perspectiva para prevenir y controlar el delito. Recuperado en</w:t>
      </w:r>
      <w:r w:rsidRPr="007E56DA">
        <w:rPr>
          <w:rFonts w:ascii="Times New Roman" w:eastAsia="Arial" w:hAnsi="Times New Roman" w:cs="Times New Roman"/>
          <w:color w:val="auto"/>
          <w:sz w:val="20"/>
          <w:szCs w:val="20"/>
        </w:rPr>
        <w:tab/>
      </w:r>
      <w:hyperlink r:id="rId26" w:history="1">
        <w:r w:rsidRPr="007E56DA">
          <w:rPr>
            <w:rStyle w:val="Hipervnculo"/>
            <w:rFonts w:ascii="Times New Roman" w:eastAsia="Arial" w:hAnsi="Times New Roman" w:cs="Times New Roman"/>
            <w:sz w:val="20"/>
            <w:szCs w:val="20"/>
          </w:rPr>
          <w:t>http://publicaciones.caf.com/media/40777/reporte-economia-desarrollo-seguridad-control-delito.pd</w:t>
        </w:r>
        <w:r w:rsidRPr="007E56DA">
          <w:rPr>
            <w:rStyle w:val="Hipervnculo"/>
            <w:rFonts w:ascii="Times New Roman" w:hAnsi="Times New Roman" w:cs="Times New Roman"/>
            <w:sz w:val="20"/>
            <w:szCs w:val="20"/>
          </w:rPr>
          <w:t>f</w:t>
        </w:r>
      </w:hyperlink>
      <w:r w:rsidRPr="007E56DA">
        <w:rPr>
          <w:rFonts w:ascii="Times New Roman" w:eastAsia="Arial" w:hAnsi="Times New Roman" w:cs="Times New Roman"/>
          <w:color w:val="auto"/>
          <w:sz w:val="20"/>
          <w:szCs w:val="20"/>
        </w:rPr>
        <w:tab/>
      </w:r>
      <w:r w:rsidRPr="007E56DA">
        <w:rPr>
          <w:rFonts w:ascii="Times New Roman" w:eastAsia="Arial" w:hAnsi="Times New Roman" w:cs="Times New Roman"/>
          <w:color w:val="auto"/>
          <w:sz w:val="20"/>
          <w:szCs w:val="20"/>
        </w:rPr>
        <w:tab/>
      </w:r>
      <w:r w:rsidRPr="007E56DA">
        <w:rPr>
          <w:rFonts w:ascii="Times New Roman" w:eastAsia="Arial" w:hAnsi="Times New Roman" w:cs="Times New Roman"/>
          <w:color w:val="auto"/>
          <w:sz w:val="20"/>
          <w:szCs w:val="20"/>
        </w:rPr>
        <w:tab/>
      </w:r>
      <w:r w:rsidRPr="007E56DA">
        <w:rPr>
          <w:rFonts w:ascii="Times New Roman" w:eastAsia="Arial" w:hAnsi="Times New Roman" w:cs="Times New Roman"/>
          <w:color w:val="auto"/>
          <w:sz w:val="20"/>
          <w:szCs w:val="20"/>
        </w:rPr>
        <w:tab/>
      </w:r>
      <w:r w:rsidRPr="007E56DA">
        <w:rPr>
          <w:rFonts w:ascii="Times New Roman" w:eastAsia="Arial" w:hAnsi="Times New Roman" w:cs="Times New Roman"/>
          <w:color w:val="auto"/>
          <w:sz w:val="20"/>
          <w:szCs w:val="20"/>
        </w:rPr>
        <w:tab/>
      </w:r>
    </w:p>
  </w:footnote>
  <w:footnote w:id="55">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Trimarco participó activamente en diferentes actividades nacionales e internacionales como referente del tema de Trata de Personas. (OEA, Parlamento Europeo, Fundación Women in the World, por mencionar sólo algunos).</w:t>
      </w:r>
    </w:p>
  </w:footnote>
  <w:footnote w:id="56">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Junto con la Red PAR (Periodistas de Argentina en Red por una comunicación no sexistas) </w:t>
      </w:r>
    </w:p>
  </w:footnote>
  <w:footnote w:id="57">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Entre los organismos se destacan: </w:t>
      </w:r>
      <w:r w:rsidR="009C5DCF" w:rsidRPr="007E56DA">
        <w:rPr>
          <w:rFonts w:ascii="Times New Roman" w:eastAsia="Arial" w:hAnsi="Times New Roman" w:cs="Times New Roman"/>
          <w:color w:val="auto"/>
          <w:sz w:val="20"/>
          <w:szCs w:val="20"/>
          <w:highlight w:val="white"/>
        </w:rPr>
        <w:t xml:space="preserve">Programa </w:t>
      </w:r>
      <w:r w:rsidRPr="007E56DA">
        <w:rPr>
          <w:rFonts w:ascii="Times New Roman" w:eastAsia="Arial" w:hAnsi="Times New Roman" w:cs="Times New Roman"/>
          <w:color w:val="auto"/>
          <w:sz w:val="20"/>
          <w:szCs w:val="20"/>
          <w:highlight w:val="white"/>
        </w:rPr>
        <w:t xml:space="preserve">Las Víctimas contra Las Violencias (2006) </w:t>
      </w:r>
    </w:p>
  </w:footnote>
  <w:footnote w:id="58">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Desde el gobierno se crea el Programa Nacional de Rescate y asistencia por el delito de trata de Personas que incluye entre otros el número de teléfono gratuito 145 para asistencia y denuncia. Programa Nacional de Rescate y Acompañamiento a las Personas Damnificadas por el Delito de Trata. </w:t>
      </w:r>
    </w:p>
  </w:footnote>
  <w:footnote w:id="59">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UFASE, Jefatura de Gabinete de la Nación. Ministerio de Seguridad de Argentina</w:t>
      </w:r>
      <w:r w:rsidR="003E07CC">
        <w:rPr>
          <w:rFonts w:ascii="Times New Roman" w:eastAsia="Arial" w:hAnsi="Times New Roman" w:cs="Times New Roman"/>
          <w:color w:val="auto"/>
          <w:sz w:val="20"/>
          <w:szCs w:val="20"/>
        </w:rPr>
        <w:t>.</w:t>
      </w:r>
      <w:r w:rsidRPr="007E56DA">
        <w:rPr>
          <w:rFonts w:ascii="Times New Roman" w:eastAsia="Arial" w:hAnsi="Times New Roman" w:cs="Times New Roman"/>
          <w:color w:val="auto"/>
          <w:sz w:val="20"/>
          <w:szCs w:val="20"/>
        </w:rPr>
        <w:t xml:space="preserve"> </w:t>
      </w:r>
    </w:p>
  </w:footnote>
  <w:footnote w:id="60">
    <w:p w:rsidR="006B20D6" w:rsidRPr="007E56DA" w:rsidRDefault="006B20D6" w:rsidP="007D4F9C">
      <w:pPr>
        <w:pStyle w:val="Normal1"/>
        <w:tabs>
          <w:tab w:val="left" w:pos="284"/>
        </w:tabs>
        <w:spacing w:after="0" w:line="240" w:lineRule="auto"/>
        <w:jc w:val="both"/>
        <w:rPr>
          <w:rFonts w:ascii="Times New Roman" w:eastAsia="Arial"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La Corte Suprema de Justicia de la Nación, por medio de un fallo unánime, estableció al 7 de diciembre de 2012 como fecha de vencimiento de la cautelar que beneficiaba al Grupo Clarín (integrado por Clarín S.A., Arte Radiotelevisivo Argentino, Cablevisión S.A., Multicanal S.A., Radio Mitre S.A. y Teledigital Cable S.A.I), el cual frenaba la aplicación del art. 161 (Adecuación) de la Ley de Servicios de Comunicación Audiovisual Nº 26.522. </w:t>
      </w:r>
      <w:hyperlink r:id="rId27" w:history="1">
        <w:r w:rsidRPr="007E56DA">
          <w:rPr>
            <w:rStyle w:val="Hipervnculo"/>
            <w:rFonts w:ascii="Times New Roman" w:eastAsia="Arial" w:hAnsi="Times New Roman" w:cs="Times New Roman"/>
            <w:sz w:val="20"/>
            <w:szCs w:val="20"/>
          </w:rPr>
          <w:t>http://www.cij.gov.ar/nota-9152-Ley-de-medios--la-Corte-precis--el-plazo-de-vigencia-de-la-medida-que-suspendi--el-art-culo-161.html</w:t>
        </w:r>
      </w:hyperlink>
    </w:p>
  </w:footnote>
  <w:footnote w:id="61">
    <w:p w:rsidR="00273C80" w:rsidRPr="007E56DA" w:rsidRDefault="00273C80" w:rsidP="007D4F9C">
      <w:pPr>
        <w:pStyle w:val="Textonotapie"/>
        <w:tabs>
          <w:tab w:val="left" w:pos="284"/>
        </w:tabs>
        <w:jc w:val="both"/>
        <w:rPr>
          <w:rFonts w:ascii="Times New Roman" w:hAnsi="Times New Roman" w:cs="Times New Roman"/>
          <w:color w:val="auto"/>
          <w:lang w:val="es-AR"/>
        </w:rPr>
      </w:pPr>
      <w:r w:rsidRPr="007E56DA">
        <w:rPr>
          <w:rStyle w:val="Refdenotaalpie"/>
          <w:rFonts w:ascii="Times New Roman" w:hAnsi="Times New Roman" w:cs="Times New Roman"/>
          <w:color w:val="auto"/>
        </w:rPr>
        <w:footnoteRef/>
      </w:r>
      <w:hyperlink r:id="rId28" w:history="1">
        <w:r w:rsidRPr="007E56DA">
          <w:rPr>
            <w:rStyle w:val="Hipervnculo"/>
            <w:rFonts w:ascii="Times New Roman" w:hAnsi="Times New Roman" w:cs="Times New Roman"/>
          </w:rPr>
          <w:t>https://www.pagina12.com.ar/diario/ultimas/20-219968-2013-05-14.html</w:t>
        </w:r>
      </w:hyperlink>
    </w:p>
  </w:footnote>
  <w:footnote w:id="62">
    <w:p w:rsidR="002D6D7A" w:rsidRPr="007E56DA" w:rsidRDefault="002D6D7A" w:rsidP="007D4F9C">
      <w:pPr>
        <w:pStyle w:val="Textonotapie"/>
        <w:tabs>
          <w:tab w:val="left" w:pos="284"/>
        </w:tabs>
        <w:jc w:val="both"/>
        <w:rPr>
          <w:rFonts w:ascii="Times New Roman" w:hAnsi="Times New Roman" w:cs="Times New Roman"/>
          <w:color w:val="auto"/>
          <w:lang w:val="es-AR"/>
        </w:rPr>
      </w:pPr>
      <w:r w:rsidRPr="007E56DA">
        <w:rPr>
          <w:rStyle w:val="Refdenotaalpie"/>
          <w:rFonts w:ascii="Times New Roman" w:hAnsi="Times New Roman" w:cs="Times New Roman"/>
          <w:color w:val="auto"/>
        </w:rPr>
        <w:footnoteRef/>
      </w:r>
      <w:r w:rsidR="00B90D65" w:rsidRPr="007E56DA">
        <w:rPr>
          <w:rFonts w:ascii="Times New Roman" w:hAnsi="Times New Roman" w:cs="Times New Roman"/>
          <w:color w:val="auto"/>
        </w:rPr>
        <w:t>Nota al fiscal Carlos Gonella, uno de sus fundadores, publicada en</w:t>
      </w:r>
      <w:r w:rsidRPr="007E56DA">
        <w:rPr>
          <w:rFonts w:ascii="Times New Roman" w:hAnsi="Times New Roman" w:cs="Times New Roman"/>
          <w:color w:val="auto"/>
        </w:rPr>
        <w:t xml:space="preserve">: </w:t>
      </w:r>
      <w:hyperlink r:id="rId29" w:history="1">
        <w:r w:rsidR="00B90D65" w:rsidRPr="007E56DA">
          <w:rPr>
            <w:rStyle w:val="Hipervnculo"/>
            <w:rFonts w:ascii="Times New Roman" w:hAnsi="Times New Roman" w:cs="Times New Roman"/>
          </w:rPr>
          <w:t>http://www.elliberal.com.ar/noticia/286127/justicia-legitima-no-asociacion-ilicita</w:t>
        </w:r>
      </w:hyperlink>
    </w:p>
  </w:footnote>
  <w:footnote w:id="63">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hyperlink r:id="rId30" w:history="1">
        <w:r w:rsidRPr="007E56DA">
          <w:rPr>
            <w:rStyle w:val="Hipervnculo"/>
            <w:rFonts w:ascii="Times New Roman" w:eastAsia="Arial" w:hAnsi="Times New Roman" w:cs="Times New Roman"/>
            <w:sz w:val="20"/>
            <w:szCs w:val="20"/>
          </w:rPr>
          <w:t>http://www.lavoz.com.ar/noticias/politica/gils-carbo-justicia-actual-es-ilegitima-corporativa-oscurantista</w:t>
        </w:r>
      </w:hyperlink>
    </w:p>
  </w:footnote>
  <w:footnote w:id="64">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007C7204" w:rsidRPr="007E56DA">
        <w:rPr>
          <w:rFonts w:ascii="Times New Roman" w:eastAsia="Arial" w:hAnsi="Times New Roman" w:cs="Times New Roman"/>
          <w:color w:val="auto"/>
          <w:sz w:val="20"/>
          <w:szCs w:val="20"/>
        </w:rPr>
        <w:t>Como señalamos anteriormente (Ver nota al pie Nº 18).</w:t>
      </w:r>
    </w:p>
  </w:footnote>
  <w:footnote w:id="65">
    <w:p w:rsidR="006B20D6" w:rsidRPr="007E56DA" w:rsidRDefault="006B20D6" w:rsidP="007D4F9C">
      <w:pPr>
        <w:pStyle w:val="Textonotapie"/>
        <w:tabs>
          <w:tab w:val="left" w:pos="284"/>
        </w:tabs>
        <w:jc w:val="both"/>
        <w:rPr>
          <w:rFonts w:ascii="Times New Roman" w:hAnsi="Times New Roman" w:cs="Times New Roman"/>
          <w:lang w:val="es-AR"/>
        </w:rPr>
      </w:pPr>
      <w:r w:rsidRPr="007E56DA">
        <w:rPr>
          <w:rStyle w:val="Refdenotaalpie"/>
          <w:rFonts w:ascii="Times New Roman" w:hAnsi="Times New Roman" w:cs="Times New Roman"/>
        </w:rPr>
        <w:footnoteRef/>
      </w:r>
      <w:hyperlink r:id="rId31" w:history="1">
        <w:r w:rsidRPr="007E56DA">
          <w:rPr>
            <w:rStyle w:val="Hipervnculo"/>
            <w:rFonts w:ascii="Times New Roman" w:hAnsi="Times New Roman" w:cs="Times New Roman"/>
          </w:rPr>
          <w:t>http://www.elpatagonico.com/presentaron-justicia-legitima-como-asociacion-civil-n695744</w:t>
        </w:r>
      </w:hyperlink>
    </w:p>
  </w:footnote>
  <w:footnote w:id="66">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hyperlink r:id="rId32" w:history="1">
        <w:r w:rsidRPr="007E56DA">
          <w:rPr>
            <w:rStyle w:val="Hipervnculo"/>
            <w:rFonts w:ascii="Times New Roman" w:eastAsia="Arial" w:hAnsi="Times New Roman" w:cs="Times New Roman"/>
            <w:sz w:val="20"/>
            <w:szCs w:val="20"/>
          </w:rPr>
          <w:t>http://justicialegitima.org/mision.html</w:t>
        </w:r>
      </w:hyperlink>
    </w:p>
  </w:footnote>
  <w:footnote w:id="67">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hyperlink r:id="rId33" w:history="1">
        <w:r w:rsidRPr="007E56DA">
          <w:rPr>
            <w:rStyle w:val="Hipervnculo"/>
            <w:rFonts w:ascii="Times New Roman" w:eastAsia="Arial" w:hAnsi="Times New Roman" w:cs="Times New Roman"/>
            <w:sz w:val="20"/>
            <w:szCs w:val="20"/>
          </w:rPr>
          <w:t>http://justicialegitima.org/quienes-somos.html</w:t>
        </w:r>
      </w:hyperlink>
    </w:p>
  </w:footnote>
  <w:footnote w:id="68">
    <w:p w:rsidR="006B20D6" w:rsidRPr="007E56DA" w:rsidRDefault="006B20D6" w:rsidP="007D4F9C">
      <w:pPr>
        <w:pStyle w:val="Normal1"/>
        <w:tabs>
          <w:tab w:val="left" w:pos="284"/>
        </w:tabs>
        <w:spacing w:after="0" w:line="240" w:lineRule="auto"/>
        <w:jc w:val="both"/>
        <w:rPr>
          <w:rFonts w:ascii="Times New Roman" w:hAnsi="Times New Roman" w:cs="Times New Roman"/>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Fundación María de los Ángeles. Recuperado en </w:t>
      </w:r>
      <w:hyperlink r:id="rId34" w:history="1">
        <w:r w:rsidRPr="007E56DA">
          <w:rPr>
            <w:rStyle w:val="Hipervnculo"/>
            <w:rFonts w:ascii="Times New Roman" w:eastAsia="Arial" w:hAnsi="Times New Roman" w:cs="Times New Roman"/>
            <w:sz w:val="20"/>
            <w:szCs w:val="20"/>
          </w:rPr>
          <w:t>http://www.fundacionmariadelosangeles.org</w:t>
        </w:r>
      </w:hyperlink>
    </w:p>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p>
  </w:footnote>
  <w:footnote w:id="69">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 En la versión online el diario Página 12 se registran 463 artículos vinculados al tema de Trata de personas entre 2004 y 2016, que incluye a Susana Trimarco y al Caso Marita Verón. En el diario La Nación, 280 artículos que incluyen Susana Trimarco entre 2007 y 2016. En el sitio del diario Clarín se visualizaron 201 artículos vinculados a Susana Trimarco y 210 notas en las que aparece el nombre Fundación María de los Ángeles, entre 2007 y 2016.</w:t>
      </w:r>
    </w:p>
  </w:footnote>
  <w:footnote w:id="70">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eastAsia="Arial" w:hAnsi="Times New Roman" w:cs="Times New Roman"/>
          <w:color w:val="auto"/>
          <w:sz w:val="20"/>
          <w:szCs w:val="20"/>
        </w:rPr>
        <w:t xml:space="preserve">Fundación María de los Ángeles. Recuperado en </w:t>
      </w:r>
      <w:hyperlink r:id="rId35" w:history="1">
        <w:r w:rsidRPr="007E56DA">
          <w:rPr>
            <w:rStyle w:val="Hipervnculo"/>
            <w:rFonts w:ascii="Times New Roman" w:eastAsia="Arial" w:hAnsi="Times New Roman" w:cs="Times New Roman"/>
            <w:sz w:val="20"/>
            <w:szCs w:val="20"/>
          </w:rPr>
          <w:t>http://www.fundacionmariadelosangeles.org/pdf/revista-abril2014.pdf</w:t>
        </w:r>
      </w:hyperlink>
    </w:p>
  </w:footnote>
  <w:footnote w:id="71">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Verónica </w:t>
      </w:r>
      <w:r w:rsidR="00396CD9" w:rsidRPr="007E56DA">
        <w:rPr>
          <w:rFonts w:ascii="Times New Roman" w:hAnsi="Times New Roman" w:cs="Times New Roman"/>
          <w:color w:val="auto"/>
          <w:sz w:val="20"/>
          <w:szCs w:val="20"/>
        </w:rPr>
        <w:t>Lozano, Fa</w:t>
      </w:r>
      <w:r w:rsidR="00514787" w:rsidRPr="007E56DA">
        <w:rPr>
          <w:rFonts w:ascii="Times New Roman" w:hAnsi="Times New Roman" w:cs="Times New Roman"/>
          <w:color w:val="auto"/>
          <w:sz w:val="20"/>
          <w:szCs w:val="20"/>
        </w:rPr>
        <w:t>cundo Arana, Patricia Sosa, José</w:t>
      </w:r>
      <w:r w:rsidR="00396CD9" w:rsidRPr="007E56DA">
        <w:rPr>
          <w:rFonts w:ascii="Times New Roman" w:hAnsi="Times New Roman" w:cs="Times New Roman"/>
          <w:color w:val="auto"/>
          <w:sz w:val="20"/>
          <w:szCs w:val="20"/>
        </w:rPr>
        <w:t xml:space="preserve"> Marí</w:t>
      </w:r>
      <w:r w:rsidRPr="007E56DA">
        <w:rPr>
          <w:rFonts w:ascii="Times New Roman" w:hAnsi="Times New Roman" w:cs="Times New Roman"/>
          <w:color w:val="auto"/>
          <w:sz w:val="20"/>
          <w:szCs w:val="20"/>
        </w:rPr>
        <w:t>a Muscar</w:t>
      </w:r>
      <w:r w:rsidR="00396CD9" w:rsidRPr="007E56DA">
        <w:rPr>
          <w:rFonts w:ascii="Times New Roman" w:hAnsi="Times New Roman" w:cs="Times New Roman"/>
          <w:color w:val="auto"/>
          <w:sz w:val="20"/>
          <w:szCs w:val="20"/>
        </w:rPr>
        <w:t>, entre otros.</w:t>
      </w:r>
    </w:p>
  </w:footnote>
  <w:footnote w:id="72">
    <w:p w:rsidR="006B20D6" w:rsidRPr="007E56DA" w:rsidRDefault="006B20D6" w:rsidP="007D4F9C">
      <w:pPr>
        <w:pStyle w:val="Normal1"/>
        <w:tabs>
          <w:tab w:val="left" w:pos="284"/>
        </w:tabs>
        <w:spacing w:after="0" w:line="240" w:lineRule="auto"/>
        <w:jc w:val="both"/>
        <w:rPr>
          <w:rFonts w:ascii="Times New Roman" w:hAnsi="Times New Roman" w:cs="Times New Roman"/>
          <w:color w:val="auto"/>
          <w:sz w:val="20"/>
          <w:szCs w:val="20"/>
        </w:rPr>
      </w:pPr>
      <w:r w:rsidRPr="007E56DA">
        <w:rPr>
          <w:rFonts w:ascii="Times New Roman" w:hAnsi="Times New Roman" w:cs="Times New Roman"/>
          <w:color w:val="auto"/>
          <w:sz w:val="20"/>
          <w:szCs w:val="20"/>
          <w:vertAlign w:val="superscript"/>
        </w:rPr>
        <w:footnoteRef/>
      </w:r>
      <w:r w:rsidRPr="007E56DA">
        <w:rPr>
          <w:rFonts w:ascii="Times New Roman" w:hAnsi="Times New Roman" w:cs="Times New Roman"/>
          <w:color w:val="auto"/>
          <w:sz w:val="20"/>
          <w:szCs w:val="20"/>
        </w:rPr>
        <w:t xml:space="preserve"> Recup</w:t>
      </w:r>
      <w:r w:rsidR="002A73A5">
        <w:rPr>
          <w:rFonts w:ascii="Times New Roman" w:hAnsi="Times New Roman" w:cs="Times New Roman"/>
          <w:color w:val="auto"/>
          <w:sz w:val="20"/>
          <w:szCs w:val="20"/>
        </w:rPr>
        <w:t>e</w:t>
      </w:r>
      <w:r w:rsidRPr="007E56DA">
        <w:rPr>
          <w:rFonts w:ascii="Times New Roman" w:hAnsi="Times New Roman" w:cs="Times New Roman"/>
          <w:color w:val="auto"/>
          <w:sz w:val="20"/>
          <w:szCs w:val="20"/>
        </w:rPr>
        <w:t xml:space="preserve">rado en </w:t>
      </w:r>
      <w:hyperlink r:id="rId36" w:history="1">
        <w:r w:rsidRPr="007E56DA">
          <w:rPr>
            <w:rStyle w:val="Hipervnculo"/>
            <w:rFonts w:ascii="Times New Roman" w:hAnsi="Times New Roman" w:cs="Times New Roman"/>
            <w:sz w:val="20"/>
            <w:szCs w:val="20"/>
          </w:rPr>
          <w:t>http://www.fundacionmariadelosangeles.org/</w:t>
        </w:r>
      </w:hyperlink>
    </w:p>
  </w:footnote>
  <w:footnote w:id="73">
    <w:p w:rsidR="00CC3BFF" w:rsidRPr="007E56DA" w:rsidRDefault="00CC3BFF" w:rsidP="007D4F9C">
      <w:pPr>
        <w:pStyle w:val="Textonotapie"/>
        <w:tabs>
          <w:tab w:val="left" w:pos="284"/>
        </w:tabs>
        <w:jc w:val="both"/>
        <w:rPr>
          <w:rFonts w:ascii="Times New Roman" w:hAnsi="Times New Roman" w:cs="Times New Roman"/>
          <w:lang w:val="es-AR"/>
        </w:rPr>
      </w:pPr>
      <w:r w:rsidRPr="007E56DA">
        <w:rPr>
          <w:rStyle w:val="Refdenotaalpie"/>
          <w:rFonts w:ascii="Times New Roman" w:hAnsi="Times New Roman" w:cs="Times New Roman"/>
        </w:rPr>
        <w:footnoteRef/>
      </w:r>
      <w:hyperlink r:id="rId37" w:history="1">
        <w:r w:rsidRPr="007E56DA">
          <w:rPr>
            <w:rStyle w:val="Hipervnculo"/>
            <w:rFonts w:ascii="Times New Roman" w:hAnsi="Times New Roman" w:cs="Times New Roman"/>
          </w:rPr>
          <w:t>http://justicialegitima.org/noticias/la-agrupacion-justicia-legitima-respaldo-las-reformas-al-poder-judicial-139.html</w:t>
        </w:r>
      </w:hyperlink>
    </w:p>
  </w:footnote>
  <w:footnote w:id="74">
    <w:p w:rsidR="00CC3BFF" w:rsidRPr="007E56DA" w:rsidRDefault="00CC3BFF" w:rsidP="007D4F9C">
      <w:pPr>
        <w:pStyle w:val="Textonotapie"/>
        <w:tabs>
          <w:tab w:val="left" w:pos="284"/>
        </w:tabs>
        <w:jc w:val="both"/>
        <w:rPr>
          <w:rFonts w:ascii="Times New Roman" w:hAnsi="Times New Roman" w:cs="Times New Roman"/>
          <w:lang w:val="es-AR"/>
        </w:rPr>
      </w:pPr>
      <w:r w:rsidRPr="007E56DA">
        <w:rPr>
          <w:rStyle w:val="Refdenotaalpie"/>
          <w:rFonts w:ascii="Times New Roman" w:hAnsi="Times New Roman" w:cs="Times New Roman"/>
        </w:rPr>
        <w:footnoteRef/>
      </w:r>
      <w:r w:rsidR="007C7204" w:rsidRPr="007E56DA">
        <w:rPr>
          <w:rFonts w:ascii="Times New Roman" w:hAnsi="Times New Roman" w:cs="Times New Roman"/>
        </w:rPr>
        <w:t xml:space="preserve">Lo cual, asimismo, resulta estratégico  para ambos, AJL y el gobierno de ese momento, como apuesta por debilitar la construcción de esta OSC como “movimiento K”. </w:t>
      </w:r>
      <w:hyperlink r:id="rId38" w:history="1">
        <w:r w:rsidRPr="007E56DA">
          <w:rPr>
            <w:rStyle w:val="Hipervnculo"/>
            <w:rFonts w:ascii="Times New Roman" w:hAnsi="Times New Roman" w:cs="Times New Roman"/>
          </w:rPr>
          <w:t>https://www.pagina12.com.ar/diario/suplementos/las12/13-8130-2013-06-28.html</w:t>
        </w:r>
      </w:hyperlink>
    </w:p>
  </w:footnote>
  <w:footnote w:id="75">
    <w:p w:rsidR="00CC3BFF" w:rsidRPr="007E56DA" w:rsidRDefault="00CC3BFF" w:rsidP="007D4F9C">
      <w:pPr>
        <w:pStyle w:val="Textonotapie"/>
        <w:tabs>
          <w:tab w:val="left" w:pos="284"/>
        </w:tabs>
        <w:jc w:val="both"/>
        <w:rPr>
          <w:rFonts w:ascii="Times New Roman" w:hAnsi="Times New Roman" w:cs="Times New Roman"/>
          <w:lang w:val="es-AR"/>
        </w:rPr>
      </w:pPr>
      <w:r w:rsidRPr="007E56DA">
        <w:rPr>
          <w:rStyle w:val="Refdenotaalpie"/>
          <w:rFonts w:ascii="Times New Roman" w:hAnsi="Times New Roman" w:cs="Times New Roman"/>
        </w:rPr>
        <w:footnoteRef/>
      </w:r>
      <w:hyperlink r:id="rId39" w:history="1">
        <w:r w:rsidRPr="007E56DA">
          <w:rPr>
            <w:rStyle w:val="Hipervnculo"/>
            <w:rFonts w:ascii="Times New Roman" w:hAnsi="Times New Roman" w:cs="Times New Roman"/>
          </w:rPr>
          <w:t>http://www.lanacion.com.ar/1588050-el-gobierno-promulgo-la-ultima-ley-de-la-reforma-judicial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8BC"/>
    <w:multiLevelType w:val="hybridMultilevel"/>
    <w:tmpl w:val="73784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4C138F"/>
    <w:multiLevelType w:val="multilevel"/>
    <w:tmpl w:val="00C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B70A9"/>
    <w:multiLevelType w:val="multilevel"/>
    <w:tmpl w:val="CAEC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F1477"/>
    <w:multiLevelType w:val="multilevel"/>
    <w:tmpl w:val="76FAEAF6"/>
    <w:lvl w:ilvl="0">
      <w:start w:val="1"/>
      <w:numFmt w:val="decimal"/>
      <w:lvlText w:val="%1."/>
      <w:lvlJc w:val="left"/>
      <w:pPr>
        <w:ind w:left="720" w:firstLine="360"/>
      </w:pPr>
      <w:rPr>
        <w:vertAlign w:val="baseline"/>
      </w:rPr>
    </w:lvl>
    <w:lvl w:ilvl="1">
      <w:start w:val="1"/>
      <w:numFmt w:val="decimal"/>
      <w:lvlText w:val="%1.%2."/>
      <w:lvlJc w:val="left"/>
      <w:pPr>
        <w:ind w:left="108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44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80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2160" w:firstLine="360"/>
      </w:pPr>
      <w:rPr>
        <w:vertAlign w:val="baseline"/>
      </w:rPr>
    </w:lvl>
    <w:lvl w:ilvl="8">
      <w:start w:val="1"/>
      <w:numFmt w:val="decimal"/>
      <w:lvlText w:val="%1.%2.%3.%4.%5.%6.%7.%8.%9."/>
      <w:lvlJc w:val="left"/>
      <w:pPr>
        <w:ind w:left="2520" w:firstLine="360"/>
      </w:pPr>
      <w:rPr>
        <w:vertAlign w:val="baseline"/>
      </w:rPr>
    </w:lvl>
  </w:abstractNum>
  <w:abstractNum w:abstractNumId="4">
    <w:nsid w:val="54101F4D"/>
    <w:multiLevelType w:val="multilevel"/>
    <w:tmpl w:val="21A2AF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61E7EDA"/>
    <w:multiLevelType w:val="multilevel"/>
    <w:tmpl w:val="7A6ABE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354EA1"/>
    <w:multiLevelType w:val="multilevel"/>
    <w:tmpl w:val="7E04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76DE3"/>
    <w:multiLevelType w:val="multilevel"/>
    <w:tmpl w:val="E430A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02A690C"/>
    <w:multiLevelType w:val="hybridMultilevel"/>
    <w:tmpl w:val="C41E6BC6"/>
    <w:lvl w:ilvl="0" w:tplc="5ADE7F4A">
      <w:numFmt w:val="bullet"/>
      <w:lvlText w:val="•"/>
      <w:lvlJc w:val="left"/>
      <w:pPr>
        <w:ind w:left="1080" w:hanging="72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0"/>
  </w:num>
  <w:num w:numId="6">
    <w:abstractNumId w:val="8"/>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characterSpacingControl w:val="doNotCompress"/>
  <w:footnotePr>
    <w:footnote w:id="0"/>
    <w:footnote w:id="1"/>
  </w:footnotePr>
  <w:endnotePr>
    <w:endnote w:id="0"/>
    <w:endnote w:id="1"/>
  </w:endnotePr>
  <w:compat/>
  <w:rsids>
    <w:rsidRoot w:val="00562A99"/>
    <w:rsid w:val="0000330A"/>
    <w:rsid w:val="00003BFB"/>
    <w:rsid w:val="00034C3D"/>
    <w:rsid w:val="0003558B"/>
    <w:rsid w:val="000428A8"/>
    <w:rsid w:val="00077DFB"/>
    <w:rsid w:val="00080842"/>
    <w:rsid w:val="00085BC5"/>
    <w:rsid w:val="00086593"/>
    <w:rsid w:val="000912FD"/>
    <w:rsid w:val="000A096B"/>
    <w:rsid w:val="000A4815"/>
    <w:rsid w:val="000B01C5"/>
    <w:rsid w:val="000B6572"/>
    <w:rsid w:val="000C0CB3"/>
    <w:rsid w:val="000C177C"/>
    <w:rsid w:val="000C3763"/>
    <w:rsid w:val="000C3F38"/>
    <w:rsid w:val="000D38B8"/>
    <w:rsid w:val="000E52E4"/>
    <w:rsid w:val="000F0AE0"/>
    <w:rsid w:val="000F7EE7"/>
    <w:rsid w:val="00111941"/>
    <w:rsid w:val="00115113"/>
    <w:rsid w:val="001171CC"/>
    <w:rsid w:val="0011765C"/>
    <w:rsid w:val="00117EA0"/>
    <w:rsid w:val="00127AFE"/>
    <w:rsid w:val="0013349F"/>
    <w:rsid w:val="00136E6D"/>
    <w:rsid w:val="0013740B"/>
    <w:rsid w:val="00143B5C"/>
    <w:rsid w:val="001470BB"/>
    <w:rsid w:val="00151D45"/>
    <w:rsid w:val="001528D7"/>
    <w:rsid w:val="00157E6D"/>
    <w:rsid w:val="00160324"/>
    <w:rsid w:val="001732A7"/>
    <w:rsid w:val="00174B35"/>
    <w:rsid w:val="0017631B"/>
    <w:rsid w:val="001932A3"/>
    <w:rsid w:val="00193BB9"/>
    <w:rsid w:val="00196F4D"/>
    <w:rsid w:val="001974D7"/>
    <w:rsid w:val="00197E12"/>
    <w:rsid w:val="001A0D18"/>
    <w:rsid w:val="001A3726"/>
    <w:rsid w:val="001B34E9"/>
    <w:rsid w:val="001B481B"/>
    <w:rsid w:val="001C25A6"/>
    <w:rsid w:val="001C5760"/>
    <w:rsid w:val="001C62F9"/>
    <w:rsid w:val="001D126D"/>
    <w:rsid w:val="001D1330"/>
    <w:rsid w:val="001D2C7F"/>
    <w:rsid w:val="001D3B9F"/>
    <w:rsid w:val="001E2DB5"/>
    <w:rsid w:val="001E5EB2"/>
    <w:rsid w:val="001F267E"/>
    <w:rsid w:val="002010B0"/>
    <w:rsid w:val="00205FE8"/>
    <w:rsid w:val="00225871"/>
    <w:rsid w:val="00230F5C"/>
    <w:rsid w:val="00246CC7"/>
    <w:rsid w:val="00253267"/>
    <w:rsid w:val="002539A0"/>
    <w:rsid w:val="00255322"/>
    <w:rsid w:val="00257539"/>
    <w:rsid w:val="00260C46"/>
    <w:rsid w:val="00262ADE"/>
    <w:rsid w:val="00267D25"/>
    <w:rsid w:val="002703EE"/>
    <w:rsid w:val="00273C80"/>
    <w:rsid w:val="002773BD"/>
    <w:rsid w:val="00281674"/>
    <w:rsid w:val="00290EB0"/>
    <w:rsid w:val="00294E34"/>
    <w:rsid w:val="002A353D"/>
    <w:rsid w:val="002A3A34"/>
    <w:rsid w:val="002A73A5"/>
    <w:rsid w:val="002B0AEB"/>
    <w:rsid w:val="002B3C30"/>
    <w:rsid w:val="002B4765"/>
    <w:rsid w:val="002D2BCE"/>
    <w:rsid w:val="002D6D7A"/>
    <w:rsid w:val="002E75AF"/>
    <w:rsid w:val="002F0FA6"/>
    <w:rsid w:val="002F307C"/>
    <w:rsid w:val="00304C8E"/>
    <w:rsid w:val="0031452A"/>
    <w:rsid w:val="00315615"/>
    <w:rsid w:val="00324CC8"/>
    <w:rsid w:val="00324FC8"/>
    <w:rsid w:val="00325F68"/>
    <w:rsid w:val="003435FF"/>
    <w:rsid w:val="00346687"/>
    <w:rsid w:val="003466B4"/>
    <w:rsid w:val="00352F89"/>
    <w:rsid w:val="00363019"/>
    <w:rsid w:val="003716AF"/>
    <w:rsid w:val="00373087"/>
    <w:rsid w:val="00374955"/>
    <w:rsid w:val="00396CD9"/>
    <w:rsid w:val="003A53EC"/>
    <w:rsid w:val="003B54F5"/>
    <w:rsid w:val="003D362D"/>
    <w:rsid w:val="003E07CC"/>
    <w:rsid w:val="003E20AB"/>
    <w:rsid w:val="003F0324"/>
    <w:rsid w:val="003F082B"/>
    <w:rsid w:val="003F4745"/>
    <w:rsid w:val="004036B6"/>
    <w:rsid w:val="004071C3"/>
    <w:rsid w:val="00407E62"/>
    <w:rsid w:val="004115F6"/>
    <w:rsid w:val="00415F32"/>
    <w:rsid w:val="00416179"/>
    <w:rsid w:val="00432A50"/>
    <w:rsid w:val="00433CD0"/>
    <w:rsid w:val="00434F07"/>
    <w:rsid w:val="00441421"/>
    <w:rsid w:val="0044507C"/>
    <w:rsid w:val="00450E2C"/>
    <w:rsid w:val="0046057F"/>
    <w:rsid w:val="00461212"/>
    <w:rsid w:val="00462CBD"/>
    <w:rsid w:val="00465D96"/>
    <w:rsid w:val="00466065"/>
    <w:rsid w:val="004742C1"/>
    <w:rsid w:val="00480287"/>
    <w:rsid w:val="0048217F"/>
    <w:rsid w:val="00482C70"/>
    <w:rsid w:val="00486B09"/>
    <w:rsid w:val="00491143"/>
    <w:rsid w:val="00491B36"/>
    <w:rsid w:val="004A2A89"/>
    <w:rsid w:val="004A5F96"/>
    <w:rsid w:val="004C4E41"/>
    <w:rsid w:val="004C57EF"/>
    <w:rsid w:val="004C603B"/>
    <w:rsid w:val="004D68E5"/>
    <w:rsid w:val="004D7635"/>
    <w:rsid w:val="004E2E91"/>
    <w:rsid w:val="004E4F4B"/>
    <w:rsid w:val="004E7E1A"/>
    <w:rsid w:val="00505FB3"/>
    <w:rsid w:val="0050691B"/>
    <w:rsid w:val="00514787"/>
    <w:rsid w:val="00523A49"/>
    <w:rsid w:val="00530693"/>
    <w:rsid w:val="00533EFC"/>
    <w:rsid w:val="00534C0F"/>
    <w:rsid w:val="00536BF0"/>
    <w:rsid w:val="005406F1"/>
    <w:rsid w:val="0054594D"/>
    <w:rsid w:val="00545C5D"/>
    <w:rsid w:val="0054654A"/>
    <w:rsid w:val="005553E3"/>
    <w:rsid w:val="0056174B"/>
    <w:rsid w:val="00562A99"/>
    <w:rsid w:val="00567D09"/>
    <w:rsid w:val="0057053F"/>
    <w:rsid w:val="00571FDD"/>
    <w:rsid w:val="00582437"/>
    <w:rsid w:val="0058457E"/>
    <w:rsid w:val="00594639"/>
    <w:rsid w:val="00595D65"/>
    <w:rsid w:val="005972F0"/>
    <w:rsid w:val="005A0DF9"/>
    <w:rsid w:val="005B5ECA"/>
    <w:rsid w:val="005C0228"/>
    <w:rsid w:val="005C4BE9"/>
    <w:rsid w:val="005C765F"/>
    <w:rsid w:val="005D4A5B"/>
    <w:rsid w:val="005D65A6"/>
    <w:rsid w:val="005D7ADF"/>
    <w:rsid w:val="005E033F"/>
    <w:rsid w:val="005E20B3"/>
    <w:rsid w:val="005E4D63"/>
    <w:rsid w:val="005E7A03"/>
    <w:rsid w:val="00610AE2"/>
    <w:rsid w:val="00611137"/>
    <w:rsid w:val="006216BB"/>
    <w:rsid w:val="00622585"/>
    <w:rsid w:val="00624D30"/>
    <w:rsid w:val="00625DE1"/>
    <w:rsid w:val="0063275C"/>
    <w:rsid w:val="00635199"/>
    <w:rsid w:val="006460B2"/>
    <w:rsid w:val="0065650C"/>
    <w:rsid w:val="006610C3"/>
    <w:rsid w:val="0066341B"/>
    <w:rsid w:val="0066506F"/>
    <w:rsid w:val="006653DA"/>
    <w:rsid w:val="006828F2"/>
    <w:rsid w:val="00691657"/>
    <w:rsid w:val="0069418F"/>
    <w:rsid w:val="006951B6"/>
    <w:rsid w:val="006A0B5E"/>
    <w:rsid w:val="006B0E9D"/>
    <w:rsid w:val="006B20D6"/>
    <w:rsid w:val="006C152A"/>
    <w:rsid w:val="006C1E75"/>
    <w:rsid w:val="006C5451"/>
    <w:rsid w:val="006C6737"/>
    <w:rsid w:val="006C6D22"/>
    <w:rsid w:val="006D1879"/>
    <w:rsid w:val="006D3B21"/>
    <w:rsid w:val="006D674E"/>
    <w:rsid w:val="006E38EC"/>
    <w:rsid w:val="006E4460"/>
    <w:rsid w:val="00700F18"/>
    <w:rsid w:val="00707636"/>
    <w:rsid w:val="00715458"/>
    <w:rsid w:val="00720492"/>
    <w:rsid w:val="00720F81"/>
    <w:rsid w:val="00726E5E"/>
    <w:rsid w:val="00737B3D"/>
    <w:rsid w:val="0074325E"/>
    <w:rsid w:val="00750FE2"/>
    <w:rsid w:val="00751526"/>
    <w:rsid w:val="00754CED"/>
    <w:rsid w:val="00761D8D"/>
    <w:rsid w:val="007723FB"/>
    <w:rsid w:val="007810FB"/>
    <w:rsid w:val="007812EE"/>
    <w:rsid w:val="007839C6"/>
    <w:rsid w:val="00783A0E"/>
    <w:rsid w:val="00784334"/>
    <w:rsid w:val="00792827"/>
    <w:rsid w:val="00796F58"/>
    <w:rsid w:val="007A31B0"/>
    <w:rsid w:val="007B2BCE"/>
    <w:rsid w:val="007B5328"/>
    <w:rsid w:val="007C3FE9"/>
    <w:rsid w:val="007C4177"/>
    <w:rsid w:val="007C5532"/>
    <w:rsid w:val="007C6167"/>
    <w:rsid w:val="007C7204"/>
    <w:rsid w:val="007D4F9C"/>
    <w:rsid w:val="007D738F"/>
    <w:rsid w:val="007E0377"/>
    <w:rsid w:val="007E1069"/>
    <w:rsid w:val="007E56DA"/>
    <w:rsid w:val="007E6D52"/>
    <w:rsid w:val="007F4767"/>
    <w:rsid w:val="007F5DA2"/>
    <w:rsid w:val="00804B01"/>
    <w:rsid w:val="00805597"/>
    <w:rsid w:val="00811F96"/>
    <w:rsid w:val="00812589"/>
    <w:rsid w:val="00825319"/>
    <w:rsid w:val="008318E3"/>
    <w:rsid w:val="00832C1B"/>
    <w:rsid w:val="00854300"/>
    <w:rsid w:val="00856594"/>
    <w:rsid w:val="00877366"/>
    <w:rsid w:val="00877E31"/>
    <w:rsid w:val="00883704"/>
    <w:rsid w:val="008939B8"/>
    <w:rsid w:val="00895096"/>
    <w:rsid w:val="008A3421"/>
    <w:rsid w:val="008A4993"/>
    <w:rsid w:val="008B6782"/>
    <w:rsid w:val="008C151E"/>
    <w:rsid w:val="008C38E7"/>
    <w:rsid w:val="008C564E"/>
    <w:rsid w:val="008C5920"/>
    <w:rsid w:val="008C6E30"/>
    <w:rsid w:val="008C7E26"/>
    <w:rsid w:val="008D787B"/>
    <w:rsid w:val="008E662E"/>
    <w:rsid w:val="0090700D"/>
    <w:rsid w:val="00911DD8"/>
    <w:rsid w:val="00915BEF"/>
    <w:rsid w:val="00921735"/>
    <w:rsid w:val="00923BB1"/>
    <w:rsid w:val="009250A7"/>
    <w:rsid w:val="00932E8D"/>
    <w:rsid w:val="009372B7"/>
    <w:rsid w:val="0095206E"/>
    <w:rsid w:val="00954420"/>
    <w:rsid w:val="009667E3"/>
    <w:rsid w:val="00971018"/>
    <w:rsid w:val="0097399D"/>
    <w:rsid w:val="00977D8A"/>
    <w:rsid w:val="00977F5A"/>
    <w:rsid w:val="009816EC"/>
    <w:rsid w:val="009A0A97"/>
    <w:rsid w:val="009A4E0E"/>
    <w:rsid w:val="009B349B"/>
    <w:rsid w:val="009C38FE"/>
    <w:rsid w:val="009C5DCF"/>
    <w:rsid w:val="009C6393"/>
    <w:rsid w:val="009C71A0"/>
    <w:rsid w:val="009D30B6"/>
    <w:rsid w:val="009D6FF9"/>
    <w:rsid w:val="009E5FE2"/>
    <w:rsid w:val="009F6003"/>
    <w:rsid w:val="009F609F"/>
    <w:rsid w:val="00A00DEE"/>
    <w:rsid w:val="00A217B8"/>
    <w:rsid w:val="00A23B95"/>
    <w:rsid w:val="00A46353"/>
    <w:rsid w:val="00A501E2"/>
    <w:rsid w:val="00A509C5"/>
    <w:rsid w:val="00A52E97"/>
    <w:rsid w:val="00A60C44"/>
    <w:rsid w:val="00A665E3"/>
    <w:rsid w:val="00A66CEC"/>
    <w:rsid w:val="00A7012C"/>
    <w:rsid w:val="00A74CB6"/>
    <w:rsid w:val="00A750F9"/>
    <w:rsid w:val="00A82D68"/>
    <w:rsid w:val="00AA29CE"/>
    <w:rsid w:val="00AA76BE"/>
    <w:rsid w:val="00AD1EC7"/>
    <w:rsid w:val="00AD749F"/>
    <w:rsid w:val="00AE0AC3"/>
    <w:rsid w:val="00AE617D"/>
    <w:rsid w:val="00AE65D1"/>
    <w:rsid w:val="00AE6CC1"/>
    <w:rsid w:val="00AF7286"/>
    <w:rsid w:val="00B0721C"/>
    <w:rsid w:val="00B22E5B"/>
    <w:rsid w:val="00B351B9"/>
    <w:rsid w:val="00B40CD5"/>
    <w:rsid w:val="00B43A58"/>
    <w:rsid w:val="00B4438E"/>
    <w:rsid w:val="00B47A27"/>
    <w:rsid w:val="00B505DC"/>
    <w:rsid w:val="00B535D6"/>
    <w:rsid w:val="00B539E0"/>
    <w:rsid w:val="00B552CC"/>
    <w:rsid w:val="00B638FD"/>
    <w:rsid w:val="00B64E06"/>
    <w:rsid w:val="00B766DB"/>
    <w:rsid w:val="00B76CFF"/>
    <w:rsid w:val="00B90D65"/>
    <w:rsid w:val="00B93FBC"/>
    <w:rsid w:val="00B97CB9"/>
    <w:rsid w:val="00BA63A6"/>
    <w:rsid w:val="00BB669F"/>
    <w:rsid w:val="00BB7EBC"/>
    <w:rsid w:val="00BC148E"/>
    <w:rsid w:val="00BC4BC6"/>
    <w:rsid w:val="00BD0167"/>
    <w:rsid w:val="00BD574A"/>
    <w:rsid w:val="00BD6957"/>
    <w:rsid w:val="00BD7DD7"/>
    <w:rsid w:val="00BE3B7A"/>
    <w:rsid w:val="00BF18A4"/>
    <w:rsid w:val="00C224B9"/>
    <w:rsid w:val="00C305B1"/>
    <w:rsid w:val="00C421FF"/>
    <w:rsid w:val="00C543DD"/>
    <w:rsid w:val="00C86636"/>
    <w:rsid w:val="00C94CF6"/>
    <w:rsid w:val="00C979E6"/>
    <w:rsid w:val="00CA3B5A"/>
    <w:rsid w:val="00CB1704"/>
    <w:rsid w:val="00CB4EDA"/>
    <w:rsid w:val="00CB66D6"/>
    <w:rsid w:val="00CC0DF2"/>
    <w:rsid w:val="00CC3BFF"/>
    <w:rsid w:val="00CD3488"/>
    <w:rsid w:val="00CD364E"/>
    <w:rsid w:val="00CD64F8"/>
    <w:rsid w:val="00CE2E92"/>
    <w:rsid w:val="00CE429B"/>
    <w:rsid w:val="00CE70BB"/>
    <w:rsid w:val="00CE76F0"/>
    <w:rsid w:val="00D015A2"/>
    <w:rsid w:val="00D104C4"/>
    <w:rsid w:val="00D120DB"/>
    <w:rsid w:val="00D159C9"/>
    <w:rsid w:val="00D21BDF"/>
    <w:rsid w:val="00D277C0"/>
    <w:rsid w:val="00D60724"/>
    <w:rsid w:val="00D60EE7"/>
    <w:rsid w:val="00D637ED"/>
    <w:rsid w:val="00D64F16"/>
    <w:rsid w:val="00D75CDF"/>
    <w:rsid w:val="00D8738A"/>
    <w:rsid w:val="00D87AF4"/>
    <w:rsid w:val="00D958CD"/>
    <w:rsid w:val="00D95E2F"/>
    <w:rsid w:val="00DA6916"/>
    <w:rsid w:val="00DB2C40"/>
    <w:rsid w:val="00DB5218"/>
    <w:rsid w:val="00DB535A"/>
    <w:rsid w:val="00DC49A2"/>
    <w:rsid w:val="00DC7615"/>
    <w:rsid w:val="00DD742F"/>
    <w:rsid w:val="00DE1F52"/>
    <w:rsid w:val="00DE4FB8"/>
    <w:rsid w:val="00DF04B3"/>
    <w:rsid w:val="00DF6978"/>
    <w:rsid w:val="00E00D5D"/>
    <w:rsid w:val="00E0392F"/>
    <w:rsid w:val="00E07981"/>
    <w:rsid w:val="00E217F6"/>
    <w:rsid w:val="00E21EB3"/>
    <w:rsid w:val="00E2433D"/>
    <w:rsid w:val="00E25407"/>
    <w:rsid w:val="00E533B1"/>
    <w:rsid w:val="00E61024"/>
    <w:rsid w:val="00E6260C"/>
    <w:rsid w:val="00E670D2"/>
    <w:rsid w:val="00E74A3B"/>
    <w:rsid w:val="00E90835"/>
    <w:rsid w:val="00E93D19"/>
    <w:rsid w:val="00E95502"/>
    <w:rsid w:val="00E9709C"/>
    <w:rsid w:val="00EA25F9"/>
    <w:rsid w:val="00EB1A4B"/>
    <w:rsid w:val="00EC2984"/>
    <w:rsid w:val="00EC7B4B"/>
    <w:rsid w:val="00ED661B"/>
    <w:rsid w:val="00ED7CEA"/>
    <w:rsid w:val="00EE288A"/>
    <w:rsid w:val="00EE5503"/>
    <w:rsid w:val="00EF3380"/>
    <w:rsid w:val="00EF40BB"/>
    <w:rsid w:val="00F0269F"/>
    <w:rsid w:val="00F03E13"/>
    <w:rsid w:val="00F069CA"/>
    <w:rsid w:val="00F10EDD"/>
    <w:rsid w:val="00F12115"/>
    <w:rsid w:val="00F17871"/>
    <w:rsid w:val="00F20A4B"/>
    <w:rsid w:val="00F20EB2"/>
    <w:rsid w:val="00F230D9"/>
    <w:rsid w:val="00F325F2"/>
    <w:rsid w:val="00F32EC3"/>
    <w:rsid w:val="00F35D42"/>
    <w:rsid w:val="00F4273E"/>
    <w:rsid w:val="00F44F21"/>
    <w:rsid w:val="00F46465"/>
    <w:rsid w:val="00F52973"/>
    <w:rsid w:val="00F72CD4"/>
    <w:rsid w:val="00F81292"/>
    <w:rsid w:val="00F87F61"/>
    <w:rsid w:val="00F9011F"/>
    <w:rsid w:val="00F9368F"/>
    <w:rsid w:val="00FA579D"/>
    <w:rsid w:val="00FB0666"/>
    <w:rsid w:val="00FC1CB0"/>
    <w:rsid w:val="00FC2C01"/>
    <w:rsid w:val="00FC4FCC"/>
    <w:rsid w:val="00FE1A44"/>
    <w:rsid w:val="00FE4E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1B"/>
  </w:style>
  <w:style w:type="paragraph" w:styleId="Ttulo1">
    <w:name w:val="heading 1"/>
    <w:basedOn w:val="Normal1"/>
    <w:next w:val="Normal1"/>
    <w:rsid w:val="00562A99"/>
    <w:pPr>
      <w:keepNext/>
      <w:keepLines/>
      <w:spacing w:before="480" w:after="120"/>
      <w:contextualSpacing/>
      <w:outlineLvl w:val="0"/>
    </w:pPr>
    <w:rPr>
      <w:b/>
      <w:sz w:val="48"/>
      <w:szCs w:val="48"/>
    </w:rPr>
  </w:style>
  <w:style w:type="paragraph" w:styleId="Ttulo2">
    <w:name w:val="heading 2"/>
    <w:basedOn w:val="Normal1"/>
    <w:next w:val="Normal1"/>
    <w:rsid w:val="00562A99"/>
    <w:pPr>
      <w:keepNext/>
      <w:keepLines/>
      <w:spacing w:before="360" w:after="80"/>
      <w:contextualSpacing/>
      <w:outlineLvl w:val="1"/>
    </w:pPr>
    <w:rPr>
      <w:b/>
      <w:sz w:val="36"/>
      <w:szCs w:val="36"/>
    </w:rPr>
  </w:style>
  <w:style w:type="paragraph" w:styleId="Ttulo3">
    <w:name w:val="heading 3"/>
    <w:basedOn w:val="Normal1"/>
    <w:next w:val="Normal1"/>
    <w:rsid w:val="00562A99"/>
    <w:pPr>
      <w:keepNext/>
      <w:keepLines/>
      <w:spacing w:before="280" w:after="80"/>
      <w:contextualSpacing/>
      <w:outlineLvl w:val="2"/>
    </w:pPr>
    <w:rPr>
      <w:b/>
      <w:sz w:val="28"/>
      <w:szCs w:val="28"/>
    </w:rPr>
  </w:style>
  <w:style w:type="paragraph" w:styleId="Ttulo4">
    <w:name w:val="heading 4"/>
    <w:basedOn w:val="Normal1"/>
    <w:next w:val="Normal1"/>
    <w:rsid w:val="00562A99"/>
    <w:pPr>
      <w:keepNext/>
      <w:keepLines/>
      <w:spacing w:before="240" w:after="40"/>
      <w:contextualSpacing/>
      <w:outlineLvl w:val="3"/>
    </w:pPr>
    <w:rPr>
      <w:b/>
      <w:sz w:val="24"/>
      <w:szCs w:val="24"/>
    </w:rPr>
  </w:style>
  <w:style w:type="paragraph" w:styleId="Ttulo5">
    <w:name w:val="heading 5"/>
    <w:basedOn w:val="Normal1"/>
    <w:next w:val="Normal1"/>
    <w:rsid w:val="00562A99"/>
    <w:pPr>
      <w:keepNext/>
      <w:keepLines/>
      <w:spacing w:before="220" w:after="40"/>
      <w:contextualSpacing/>
      <w:outlineLvl w:val="4"/>
    </w:pPr>
    <w:rPr>
      <w:b/>
    </w:rPr>
  </w:style>
  <w:style w:type="paragraph" w:styleId="Ttulo6">
    <w:name w:val="heading 6"/>
    <w:basedOn w:val="Normal1"/>
    <w:next w:val="Normal1"/>
    <w:rsid w:val="00562A99"/>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62A99"/>
  </w:style>
  <w:style w:type="table" w:customStyle="1" w:styleId="TableNormal">
    <w:name w:val="Table Normal"/>
    <w:rsid w:val="00562A99"/>
    <w:tblPr>
      <w:tblCellMar>
        <w:top w:w="0" w:type="dxa"/>
        <w:left w:w="0" w:type="dxa"/>
        <w:bottom w:w="0" w:type="dxa"/>
        <w:right w:w="0" w:type="dxa"/>
      </w:tblCellMar>
    </w:tblPr>
  </w:style>
  <w:style w:type="paragraph" w:styleId="Ttulo">
    <w:name w:val="Title"/>
    <w:basedOn w:val="Normal1"/>
    <w:next w:val="Normal1"/>
    <w:rsid w:val="00562A99"/>
    <w:pPr>
      <w:keepNext/>
      <w:keepLines/>
      <w:spacing w:before="480" w:after="120"/>
      <w:contextualSpacing/>
    </w:pPr>
    <w:rPr>
      <w:b/>
      <w:sz w:val="72"/>
      <w:szCs w:val="72"/>
    </w:rPr>
  </w:style>
  <w:style w:type="paragraph" w:styleId="Subttulo">
    <w:name w:val="Subtitle"/>
    <w:basedOn w:val="Normal1"/>
    <w:next w:val="Normal1"/>
    <w:rsid w:val="00562A99"/>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562A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2A99"/>
    <w:rPr>
      <w:sz w:val="20"/>
      <w:szCs w:val="20"/>
    </w:rPr>
  </w:style>
  <w:style w:type="character" w:styleId="Refdecomentario">
    <w:name w:val="annotation reference"/>
    <w:basedOn w:val="Fuentedeprrafopredeter"/>
    <w:uiPriority w:val="99"/>
    <w:semiHidden/>
    <w:unhideWhenUsed/>
    <w:rsid w:val="00562A99"/>
    <w:rPr>
      <w:sz w:val="16"/>
      <w:szCs w:val="16"/>
    </w:rPr>
  </w:style>
  <w:style w:type="paragraph" w:styleId="Textodeglobo">
    <w:name w:val="Balloon Text"/>
    <w:basedOn w:val="Normal"/>
    <w:link w:val="TextodegloboCar"/>
    <w:uiPriority w:val="99"/>
    <w:semiHidden/>
    <w:unhideWhenUsed/>
    <w:rsid w:val="00EB1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A4B"/>
    <w:rPr>
      <w:rFonts w:ascii="Tahoma" w:hAnsi="Tahoma" w:cs="Tahoma"/>
      <w:sz w:val="16"/>
      <w:szCs w:val="16"/>
    </w:rPr>
  </w:style>
  <w:style w:type="character" w:styleId="Hipervnculo">
    <w:name w:val="Hyperlink"/>
    <w:basedOn w:val="Fuentedeprrafopredeter"/>
    <w:uiPriority w:val="99"/>
    <w:unhideWhenUsed/>
    <w:rsid w:val="006E4460"/>
    <w:rPr>
      <w:color w:val="0000FF"/>
      <w:u w:val="single"/>
    </w:rPr>
  </w:style>
  <w:style w:type="character" w:styleId="nfasis">
    <w:name w:val="Emphasis"/>
    <w:basedOn w:val="Fuentedeprrafopredeter"/>
    <w:uiPriority w:val="20"/>
    <w:qFormat/>
    <w:rsid w:val="006E4460"/>
    <w:rPr>
      <w:i/>
      <w:iCs/>
    </w:rPr>
  </w:style>
  <w:style w:type="character" w:customStyle="1" w:styleId="apple-converted-space">
    <w:name w:val="apple-converted-space"/>
    <w:basedOn w:val="Fuentedeprrafopredeter"/>
    <w:rsid w:val="006E4460"/>
  </w:style>
  <w:style w:type="paragraph" w:styleId="Textonotaalfinal">
    <w:name w:val="endnote text"/>
    <w:basedOn w:val="Normal"/>
    <w:link w:val="TextonotaalfinalCar"/>
    <w:uiPriority w:val="99"/>
    <w:semiHidden/>
    <w:unhideWhenUsed/>
    <w:rsid w:val="0065650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650C"/>
    <w:rPr>
      <w:sz w:val="20"/>
      <w:szCs w:val="20"/>
    </w:rPr>
  </w:style>
  <w:style w:type="paragraph" w:styleId="Textonotapie">
    <w:name w:val="footnote text"/>
    <w:aliases w:val="Char,Footnote Text Char Char Char Char Char,Footnote Text Char Char Char Char,FA Fu,Footnote reference,Footnote Text Char Char Char,Car Car Car Car Car Car,Car Car Car Car Car"/>
    <w:basedOn w:val="Normal"/>
    <w:link w:val="TextonotapieCar"/>
    <w:unhideWhenUsed/>
    <w:rsid w:val="0065650C"/>
    <w:pPr>
      <w:spacing w:after="0" w:line="240" w:lineRule="auto"/>
    </w:pPr>
    <w:rPr>
      <w:sz w:val="20"/>
      <w:szCs w:val="20"/>
    </w:rPr>
  </w:style>
  <w:style w:type="character" w:customStyle="1" w:styleId="TextonotapieCar">
    <w:name w:val="Texto nota pie Car"/>
    <w:aliases w:val="Char Car,Footnote Text Char Char Char Char Char Car,Footnote Text Char Char Char Char Car,FA Fu Car,Footnote reference Car,Footnote Text Char Char Char Car,Car Car Car Car Car Car Car,Car Car Car Car Car Car1"/>
    <w:basedOn w:val="Fuentedeprrafopredeter"/>
    <w:link w:val="Textonotapie"/>
    <w:uiPriority w:val="99"/>
    <w:rsid w:val="0065650C"/>
    <w:rPr>
      <w:sz w:val="20"/>
      <w:szCs w:val="20"/>
    </w:rPr>
  </w:style>
  <w:style w:type="character" w:styleId="Refdenotaalfinal">
    <w:name w:val="endnote reference"/>
    <w:basedOn w:val="Fuentedeprrafopredeter"/>
    <w:uiPriority w:val="99"/>
    <w:semiHidden/>
    <w:unhideWhenUsed/>
    <w:rsid w:val="0065650C"/>
    <w:rPr>
      <w:vertAlign w:val="superscript"/>
    </w:rPr>
  </w:style>
  <w:style w:type="character" w:styleId="Refdenotaalpie">
    <w:name w:val="footnote reference"/>
    <w:basedOn w:val="Fuentedeprrafopredeter"/>
    <w:uiPriority w:val="99"/>
    <w:semiHidden/>
    <w:unhideWhenUsed/>
    <w:rsid w:val="0065650C"/>
    <w:rPr>
      <w:vertAlign w:val="superscript"/>
    </w:rPr>
  </w:style>
  <w:style w:type="paragraph" w:customStyle="1" w:styleId="Normal10">
    <w:name w:val="Normal1"/>
    <w:rsid w:val="001A0D18"/>
  </w:style>
  <w:style w:type="paragraph" w:styleId="NormalWeb">
    <w:name w:val="Normal (Web)"/>
    <w:basedOn w:val="Normal"/>
    <w:uiPriority w:val="99"/>
    <w:unhideWhenUsed/>
    <w:rsid w:val="005B5EC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suntodelcomentario">
    <w:name w:val="annotation subject"/>
    <w:basedOn w:val="Textocomentario"/>
    <w:next w:val="Textocomentario"/>
    <w:link w:val="AsuntodelcomentarioCar"/>
    <w:uiPriority w:val="99"/>
    <w:semiHidden/>
    <w:unhideWhenUsed/>
    <w:rsid w:val="00416179"/>
    <w:rPr>
      <w:b/>
      <w:bCs/>
    </w:rPr>
  </w:style>
  <w:style w:type="character" w:customStyle="1" w:styleId="AsuntodelcomentarioCar">
    <w:name w:val="Asunto del comentario Car"/>
    <w:basedOn w:val="TextocomentarioCar"/>
    <w:link w:val="Asuntodelcomentario"/>
    <w:uiPriority w:val="99"/>
    <w:semiHidden/>
    <w:rsid w:val="00416179"/>
    <w:rPr>
      <w:b/>
      <w:bCs/>
      <w:sz w:val="20"/>
      <w:szCs w:val="20"/>
    </w:rPr>
  </w:style>
  <w:style w:type="paragraph" w:styleId="Encabezado">
    <w:name w:val="header"/>
    <w:basedOn w:val="Normal"/>
    <w:link w:val="EncabezadoCar"/>
    <w:uiPriority w:val="99"/>
    <w:unhideWhenUsed/>
    <w:rsid w:val="005E4D63"/>
    <w:pPr>
      <w:tabs>
        <w:tab w:val="center" w:pos="4419"/>
        <w:tab w:val="right" w:pos="8838"/>
      </w:tabs>
      <w:spacing w:after="0" w:line="240" w:lineRule="auto"/>
    </w:pPr>
    <w:rPr>
      <w:rFonts w:cs="Times New Roman"/>
      <w:color w:val="auto"/>
      <w:lang w:val="es-AR" w:eastAsia="en-US"/>
    </w:rPr>
  </w:style>
  <w:style w:type="character" w:customStyle="1" w:styleId="EncabezadoCar">
    <w:name w:val="Encabezado Car"/>
    <w:basedOn w:val="Fuentedeprrafopredeter"/>
    <w:link w:val="Encabezado"/>
    <w:uiPriority w:val="99"/>
    <w:rsid w:val="005E4D63"/>
    <w:rPr>
      <w:rFonts w:cs="Times New Roman"/>
      <w:color w:val="auto"/>
      <w:lang w:val="es-AR" w:eastAsia="en-US"/>
    </w:rPr>
  </w:style>
  <w:style w:type="character" w:styleId="Hipervnculovisitado">
    <w:name w:val="FollowedHyperlink"/>
    <w:basedOn w:val="Fuentedeprrafopredeter"/>
    <w:uiPriority w:val="99"/>
    <w:semiHidden/>
    <w:unhideWhenUsed/>
    <w:rsid w:val="007E56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454325149">
      <w:bodyDiv w:val="1"/>
      <w:marLeft w:val="0"/>
      <w:marRight w:val="0"/>
      <w:marTop w:val="0"/>
      <w:marBottom w:val="0"/>
      <w:divBdr>
        <w:top w:val="none" w:sz="0" w:space="0" w:color="auto"/>
        <w:left w:val="none" w:sz="0" w:space="0" w:color="auto"/>
        <w:bottom w:val="none" w:sz="0" w:space="0" w:color="auto"/>
        <w:right w:val="none" w:sz="0" w:space="0" w:color="auto"/>
      </w:divBdr>
    </w:div>
    <w:div w:id="836649016">
      <w:bodyDiv w:val="1"/>
      <w:marLeft w:val="0"/>
      <w:marRight w:val="0"/>
      <w:marTop w:val="0"/>
      <w:marBottom w:val="0"/>
      <w:divBdr>
        <w:top w:val="none" w:sz="0" w:space="0" w:color="auto"/>
        <w:left w:val="none" w:sz="0" w:space="0" w:color="auto"/>
        <w:bottom w:val="none" w:sz="0" w:space="0" w:color="auto"/>
        <w:right w:val="none" w:sz="0" w:space="0" w:color="auto"/>
      </w:divBdr>
    </w:div>
    <w:div w:id="968440698">
      <w:bodyDiv w:val="1"/>
      <w:marLeft w:val="0"/>
      <w:marRight w:val="0"/>
      <w:marTop w:val="0"/>
      <w:marBottom w:val="0"/>
      <w:divBdr>
        <w:top w:val="none" w:sz="0" w:space="0" w:color="auto"/>
        <w:left w:val="none" w:sz="0" w:space="0" w:color="auto"/>
        <w:bottom w:val="none" w:sz="0" w:space="0" w:color="auto"/>
        <w:right w:val="none" w:sz="0" w:space="0" w:color="auto"/>
      </w:divBdr>
      <w:divsChild>
        <w:div w:id="1439107321">
          <w:marLeft w:val="0"/>
          <w:marRight w:val="0"/>
          <w:marTop w:val="30"/>
          <w:marBottom w:val="0"/>
          <w:divBdr>
            <w:top w:val="none" w:sz="0" w:space="0" w:color="auto"/>
            <w:left w:val="none" w:sz="0" w:space="0" w:color="auto"/>
            <w:bottom w:val="none" w:sz="0" w:space="0" w:color="auto"/>
            <w:right w:val="none" w:sz="0" w:space="0" w:color="auto"/>
          </w:divBdr>
          <w:divsChild>
            <w:div w:id="9112330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00585424">
      <w:bodyDiv w:val="1"/>
      <w:marLeft w:val="0"/>
      <w:marRight w:val="0"/>
      <w:marTop w:val="0"/>
      <w:marBottom w:val="0"/>
      <w:divBdr>
        <w:top w:val="none" w:sz="0" w:space="0" w:color="auto"/>
        <w:left w:val="none" w:sz="0" w:space="0" w:color="auto"/>
        <w:bottom w:val="none" w:sz="0" w:space="0" w:color="auto"/>
        <w:right w:val="none" w:sz="0" w:space="0" w:color="auto"/>
      </w:divBdr>
      <w:divsChild>
        <w:div w:id="1520661265">
          <w:marLeft w:val="0"/>
          <w:marRight w:val="0"/>
          <w:marTop w:val="0"/>
          <w:marBottom w:val="0"/>
          <w:divBdr>
            <w:top w:val="none" w:sz="0" w:space="0" w:color="auto"/>
            <w:left w:val="none" w:sz="0" w:space="0" w:color="auto"/>
            <w:bottom w:val="none" w:sz="0" w:space="0" w:color="auto"/>
            <w:right w:val="none" w:sz="0" w:space="0" w:color="auto"/>
          </w:divBdr>
        </w:div>
        <w:div w:id="18008020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cuentro.gov.ar/sitios/encuentro/programas/ver?rec_id=113206" TargetMode="External"/><Relationship Id="rId13" Type="http://schemas.openxmlformats.org/officeDocument/2006/relationships/hyperlink" Target="http://www.encuentro.gob.ar/sitios/encuentro/programas/ver?rec_id=1288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ar/scielo.php?script=sci_arttext&amp;pid=S1851-46692013000200004&amp;lng=es&amp;tl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ar/scielo.php?script=sci_arttext&amp;pid=S1851-46692013000200004&amp;lng=es&amp;tl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inobarometro.org/documentos/LATBD_La_seguridad_ciudadana.pdf" TargetMode="External"/><Relationship Id="rId4" Type="http://schemas.openxmlformats.org/officeDocument/2006/relationships/settings" Target="settings.xml"/><Relationship Id="rId9" Type="http://schemas.openxmlformats.org/officeDocument/2006/relationships/hyperlink" Target="http://www.encuentro.gov.ar/sitios/encuentro/programas/ver?rec_id=113206" TargetMode="External"/><Relationship Id="rId14" Type="http://schemas.openxmlformats.org/officeDocument/2006/relationships/hyperlink" Target="http://www.encuentro.gob.ar/sitios/encuentro/programas/ver?rec_id=12889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cuentro.gob.ar/sitios/encuentro/programas/ver?rec_id=12889" TargetMode="External"/><Relationship Id="rId13" Type="http://schemas.openxmlformats.org/officeDocument/2006/relationships/hyperlink" Target="http://www.encuentro.gov.ar/sitios/encuentro/programas/ver?rec_id=113206" TargetMode="External"/><Relationship Id="rId18" Type="http://schemas.openxmlformats.org/officeDocument/2006/relationships/hyperlink" Target="https://www.youtube.com/watch?v=GRp7qguJX_A" TargetMode="External"/><Relationship Id="rId26" Type="http://schemas.openxmlformats.org/officeDocument/2006/relationships/hyperlink" Target="http://publicaciones.caf.com/media/40777/reporte-economia-desarrollo-seguridad-control-delito.pdf" TargetMode="External"/><Relationship Id="rId39" Type="http://schemas.openxmlformats.org/officeDocument/2006/relationships/hyperlink" Target="http://www.lanacion.com.ar/1588050-el-gobierno-promulgo-la-ultima-ley-de-la-reforma-judicial" TargetMode="External"/><Relationship Id="rId3" Type="http://schemas.openxmlformats.org/officeDocument/2006/relationships/hyperlink" Target="http://www.cij.gov.ar/nota-10467-Pronunciamiento-de-jueces--defensores--fiscales-y-funcionarios.html" TargetMode="External"/><Relationship Id="rId21" Type="http://schemas.openxmlformats.org/officeDocument/2006/relationships/hyperlink" Target="http://www.fundacionmariadelosangeles.org/susana-trimarco.htm" TargetMode="External"/><Relationship Id="rId34" Type="http://schemas.openxmlformats.org/officeDocument/2006/relationships/hyperlink" Target="http://www.fundacionmariadelosangeles.org" TargetMode="External"/><Relationship Id="rId7" Type="http://schemas.openxmlformats.org/officeDocument/2006/relationships/hyperlink" Target="http://www.encuentro.gob.ar/sitios/encuentro/programas/ver?rec_id=128895" TargetMode="External"/><Relationship Id="rId12" Type="http://schemas.openxmlformats.org/officeDocument/2006/relationships/hyperlink" Target="http://www.encuentro.gov.ar/sitios/encuentro/programas/ver?rec_id=113206" TargetMode="External"/><Relationship Id="rId17" Type="http://schemas.openxmlformats.org/officeDocument/2006/relationships/hyperlink" Target="https://www.youtube.com/watch?v=GRp7qguJX_A" TargetMode="External"/><Relationship Id="rId25" Type="http://schemas.openxmlformats.org/officeDocument/2006/relationships/hyperlink" Target="http://cels.org.ar/cronologia-de-la-mano-dura/" TargetMode="External"/><Relationship Id="rId33" Type="http://schemas.openxmlformats.org/officeDocument/2006/relationships/hyperlink" Target="http://justicialegitima.org/quienes-somos.html" TargetMode="External"/><Relationship Id="rId38" Type="http://schemas.openxmlformats.org/officeDocument/2006/relationships/hyperlink" Target="https://www.pagina12.com.ar/diario/suplementos/las12/13-8130-2013-06-28.html" TargetMode="External"/><Relationship Id="rId2" Type="http://schemas.openxmlformats.org/officeDocument/2006/relationships/hyperlink" Target="http://www.pagina12.com.ar/diario/elpais/1-287902-2015-12-10.html" TargetMode="External"/><Relationship Id="rId16" Type="http://schemas.openxmlformats.org/officeDocument/2006/relationships/hyperlink" Target="http://www.encuentro.gob.ar/sitios/encuentro/programas/ver?rec_id=12889" TargetMode="External"/><Relationship Id="rId20" Type="http://schemas.openxmlformats.org/officeDocument/2006/relationships/hyperlink" Target="http://www.diarioregistrado.com/politica/trimarco----todo-cambio-cuando-pude-hablar-con-nestor--_a56316a9742bd9ca81b19543f" TargetMode="External"/><Relationship Id="rId29" Type="http://schemas.openxmlformats.org/officeDocument/2006/relationships/hyperlink" Target="http://www.elliberal.com.ar/noticia/286127/justicia-legitima-no-asociacion-ilicita" TargetMode="External"/><Relationship Id="rId1" Type="http://schemas.openxmlformats.org/officeDocument/2006/relationships/hyperlink" Target="https://revistas.unc.edu.ar/index.php/APyS/article/view/15689" TargetMode="External"/><Relationship Id="rId6" Type="http://schemas.openxmlformats.org/officeDocument/2006/relationships/hyperlink" Target="http://www.eldiplo.org/index.php/archivo/167-kirchnerismo-balance-de-una-decada/por-una-justicia-con-los-ojos-abiertos/" TargetMode="External"/><Relationship Id="rId11" Type="http://schemas.openxmlformats.org/officeDocument/2006/relationships/hyperlink" Target="http://www.encuentro.gov.ar/sitios/encuentro/programas/ver?rec_id=113206" TargetMode="External"/><Relationship Id="rId24" Type="http://schemas.openxmlformats.org/officeDocument/2006/relationships/hyperlink" Target="http://www.lanacion.com.ar/1496589-dos-decadas-mas-de-54000-asesinatos" TargetMode="External"/><Relationship Id="rId32" Type="http://schemas.openxmlformats.org/officeDocument/2006/relationships/hyperlink" Target="http://justicialegitima.org/mision.html" TargetMode="External"/><Relationship Id="rId37" Type="http://schemas.openxmlformats.org/officeDocument/2006/relationships/hyperlink" Target="http://justicialegitima.org/noticias/la-agrupacion-justicia-legitima-respaldo-las-reformas-al-poder-judicial-139.html" TargetMode="External"/><Relationship Id="rId5" Type="http://schemas.openxmlformats.org/officeDocument/2006/relationships/hyperlink" Target="http://www.mdzol.com/entrevista/562595/" TargetMode="External"/><Relationship Id="rId15" Type="http://schemas.openxmlformats.org/officeDocument/2006/relationships/hyperlink" Target="http://www.encuentro.gob.ar/sitios/encuentro/programas/ver?rec_id=128895" TargetMode="External"/><Relationship Id="rId23" Type="http://schemas.openxmlformats.org/officeDocument/2006/relationships/hyperlink" Target="http://www.clarin.com/politica/Repudios-pais-fallo-Marita-Veron_0_827917233.html" TargetMode="External"/><Relationship Id="rId28" Type="http://schemas.openxmlformats.org/officeDocument/2006/relationships/hyperlink" Target="https://www.pagina12.com.ar/diario/ultimas/20-219968-2013-05-14.html" TargetMode="External"/><Relationship Id="rId36" Type="http://schemas.openxmlformats.org/officeDocument/2006/relationships/hyperlink" Target="http://www.fundacionmariadelosangeles.org/" TargetMode="External"/><Relationship Id="rId10" Type="http://schemas.openxmlformats.org/officeDocument/2006/relationships/hyperlink" Target="http://www.encuentro.gov.ar/sitios/encuentro/programas/ver?rec_id=113206" TargetMode="External"/><Relationship Id="rId19" Type="http://schemas.openxmlformats.org/officeDocument/2006/relationships/hyperlink" Target="http://www.pagina12.com.ar/diario/sociedad/3-49442-2005-04-07.html" TargetMode="External"/><Relationship Id="rId31" Type="http://schemas.openxmlformats.org/officeDocument/2006/relationships/hyperlink" Target="http://www.elpatagonico.com/presentaron-justicia-legitima-como-asociacion-civil-n695744" TargetMode="External"/><Relationship Id="rId4" Type="http://schemas.openxmlformats.org/officeDocument/2006/relationships/hyperlink" Target="http://www.pagina12.com.ar/diario/elpais/1-256730-2014-10-03.html" TargetMode="External"/><Relationship Id="rId9" Type="http://schemas.openxmlformats.org/officeDocument/2006/relationships/hyperlink" Target="http://www.encuentro.gov.ar/sitios/encuentro/programas/ver?rec_id=113206" TargetMode="External"/><Relationship Id="rId14" Type="http://schemas.openxmlformats.org/officeDocument/2006/relationships/hyperlink" Target="http://www.encuentro.gov.ar/sitios/encuentro/programas/ver?rec_id=113206" TargetMode="External"/><Relationship Id="rId22" Type="http://schemas.openxmlformats.org/officeDocument/2006/relationships/hyperlink" Target="http://www.fundacionmariadelosangeles.org/micrositios/delito-de-trata-de-personas/sibila-camps.pdf" TargetMode="External"/><Relationship Id="rId27" Type="http://schemas.openxmlformats.org/officeDocument/2006/relationships/hyperlink" Target="http://www.cij.gov.ar/nota-9152-Ley-de-medios--la-Corte-precis--el-plazo-de-vigencia-de-la-medida-que-suspendi--el-art-culo-161.html" TargetMode="External"/><Relationship Id="rId30" Type="http://schemas.openxmlformats.org/officeDocument/2006/relationships/hyperlink" Target="http://www.lavoz.com.ar/noticias/politica/gils-carbo-justicia-actual-es-ilegitima-corporativa-oscurantista" TargetMode="External"/><Relationship Id="rId35" Type="http://schemas.openxmlformats.org/officeDocument/2006/relationships/hyperlink" Target="http://www.fundacionmariadelosangeles.org/pdf/revista-abril20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65829-0088-6A48-BC93-5700DA49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31</Pages>
  <Words>9941</Words>
  <Characters>54680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cintia</cp:lastModifiedBy>
  <cp:revision>8</cp:revision>
  <dcterms:created xsi:type="dcterms:W3CDTF">2017-07-04T16:23:00Z</dcterms:created>
  <dcterms:modified xsi:type="dcterms:W3CDTF">2017-07-31T12:55:00Z</dcterms:modified>
</cp:coreProperties>
</file>